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4B10A9" w:rsidRDefault="00105DEA" w:rsidP="0029513E">
      <w:pPr>
        <w:ind w:left="-426"/>
        <w:jc w:val="center"/>
        <w:rPr>
          <w:rFonts w:ascii="Arial" w:hAnsi="Arial" w:cs="Arial"/>
          <w:b/>
          <w:iCs/>
          <w:sz w:val="28"/>
          <w:szCs w:val="28"/>
        </w:rPr>
      </w:pPr>
      <w:r>
        <w:rPr>
          <w:rFonts w:ascii="Arial" w:hAnsi="Arial" w:cs="Arial"/>
          <w:b/>
          <w:iCs/>
          <w:sz w:val="28"/>
          <w:szCs w:val="28"/>
        </w:rPr>
        <w:t xml:space="preserve">   Nº</w:t>
      </w:r>
      <w:proofErr w:type="gramStart"/>
      <w:r>
        <w:rPr>
          <w:rFonts w:ascii="Arial" w:hAnsi="Arial" w:cs="Arial"/>
          <w:b/>
          <w:iCs/>
          <w:sz w:val="28"/>
          <w:szCs w:val="28"/>
        </w:rPr>
        <w:t xml:space="preserve"> </w:t>
      </w:r>
      <w:r w:rsidR="005E14F0">
        <w:rPr>
          <w:rFonts w:ascii="Arial" w:hAnsi="Arial" w:cs="Arial"/>
          <w:b/>
          <w:iCs/>
          <w:sz w:val="28"/>
          <w:szCs w:val="28"/>
        </w:rPr>
        <w:t xml:space="preserve"> </w:t>
      </w:r>
      <w:proofErr w:type="gramEnd"/>
      <w:r w:rsidR="005E14F0">
        <w:rPr>
          <w:rFonts w:ascii="Arial" w:hAnsi="Arial" w:cs="Arial"/>
          <w:b/>
          <w:iCs/>
          <w:sz w:val="28"/>
          <w:szCs w:val="28"/>
        </w:rPr>
        <w:t>11</w:t>
      </w:r>
      <w:r w:rsidR="009E27F5" w:rsidRPr="004B10A9">
        <w:rPr>
          <w:rFonts w:ascii="Arial" w:hAnsi="Arial" w:cs="Arial"/>
          <w:b/>
          <w:iCs/>
          <w:sz w:val="28"/>
          <w:szCs w:val="28"/>
        </w:rPr>
        <w:t xml:space="preserve"> </w:t>
      </w:r>
      <w:r w:rsidR="005D513B" w:rsidRPr="004B10A9">
        <w:rPr>
          <w:rFonts w:ascii="Arial" w:hAnsi="Arial" w:cs="Arial"/>
          <w:b/>
          <w:iCs/>
          <w:sz w:val="28"/>
          <w:szCs w:val="28"/>
        </w:rPr>
        <w:t>/</w:t>
      </w:r>
      <w:r w:rsidR="009E27F5" w:rsidRPr="004B10A9">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5D2DE4">
        <w:rPr>
          <w:rFonts w:ascii="Arial" w:hAnsi="Arial" w:cs="Arial"/>
          <w:b/>
          <w:bCs/>
          <w:sz w:val="32"/>
          <w:szCs w:val="32"/>
        </w:rPr>
        <w:t>implantação do viário Pirarucu - Interligação de Carapicuíba e Barueri</w:t>
      </w:r>
      <w:r w:rsidR="000D7595">
        <w:rPr>
          <w:rFonts w:ascii="Arial" w:hAnsi="Arial" w:cs="Arial"/>
          <w:b/>
          <w:bCs/>
          <w:sz w:val="32"/>
          <w:szCs w:val="32"/>
        </w:rPr>
        <w:t>.</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 xml:space="preserve">R$ </w:t>
      </w:r>
      <w:r w:rsidR="005D2DE4">
        <w:rPr>
          <w:rFonts w:ascii="Arial" w:hAnsi="Arial" w:cs="Arial"/>
          <w:b/>
          <w:bCs/>
          <w:sz w:val="28"/>
          <w:szCs w:val="28"/>
        </w:rPr>
        <w:t>6</w:t>
      </w:r>
      <w:r w:rsidR="00803E05">
        <w:rPr>
          <w:rFonts w:ascii="Arial" w:hAnsi="Arial" w:cs="Arial"/>
          <w:b/>
          <w:bCs/>
          <w:sz w:val="28"/>
          <w:szCs w:val="28"/>
        </w:rPr>
        <w:t>.</w:t>
      </w:r>
      <w:r w:rsidR="005D2DE4">
        <w:rPr>
          <w:rFonts w:ascii="Arial" w:hAnsi="Arial" w:cs="Arial"/>
          <w:b/>
          <w:bCs/>
          <w:sz w:val="28"/>
          <w:szCs w:val="28"/>
        </w:rPr>
        <w:t>129</w:t>
      </w:r>
      <w:r w:rsidR="00803E05">
        <w:rPr>
          <w:rFonts w:ascii="Arial" w:hAnsi="Arial" w:cs="Arial"/>
          <w:b/>
          <w:bCs/>
          <w:sz w:val="28"/>
          <w:szCs w:val="28"/>
        </w:rPr>
        <w:t>.</w:t>
      </w:r>
      <w:r w:rsidR="005D2DE4">
        <w:rPr>
          <w:rFonts w:ascii="Arial" w:hAnsi="Arial" w:cs="Arial"/>
          <w:b/>
          <w:bCs/>
          <w:sz w:val="28"/>
          <w:szCs w:val="28"/>
        </w:rPr>
        <w:t>424</w:t>
      </w:r>
      <w:r w:rsidR="00803E05">
        <w:rPr>
          <w:rFonts w:ascii="Arial" w:hAnsi="Arial" w:cs="Arial"/>
          <w:b/>
          <w:bCs/>
          <w:sz w:val="28"/>
          <w:szCs w:val="28"/>
        </w:rPr>
        <w:t>,</w:t>
      </w:r>
      <w:r w:rsidR="005D2DE4">
        <w:rPr>
          <w:rFonts w:ascii="Arial" w:hAnsi="Arial" w:cs="Arial"/>
          <w:b/>
          <w:bCs/>
          <w:sz w:val="28"/>
          <w:szCs w:val="28"/>
        </w:rPr>
        <w:t>74</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CF276A">
        <w:rPr>
          <w:rFonts w:ascii="Arial" w:hAnsi="Arial" w:cs="Arial"/>
          <w:b/>
          <w:bCs/>
          <w:sz w:val="28"/>
          <w:szCs w:val="28"/>
        </w:rPr>
        <w:t xml:space="preserve"> </w:t>
      </w:r>
      <w:proofErr w:type="gramEnd"/>
      <w:r w:rsidR="00A17C51">
        <w:rPr>
          <w:rFonts w:ascii="Arial" w:hAnsi="Arial" w:cs="Arial"/>
          <w:b/>
          <w:bCs/>
          <w:sz w:val="28"/>
          <w:szCs w:val="28"/>
        </w:rPr>
        <w:t>07</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A17C51">
        <w:rPr>
          <w:rFonts w:ascii="Arial" w:hAnsi="Arial" w:cs="Arial"/>
          <w:b/>
          <w:bCs/>
          <w:sz w:val="28"/>
          <w:szCs w:val="28"/>
        </w:rPr>
        <w:t>05</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r w:rsidR="00CF276A">
        <w:rPr>
          <w:rFonts w:ascii="Arial" w:hAnsi="Arial" w:cs="Arial"/>
          <w:b/>
          <w:bCs/>
          <w:sz w:val="28"/>
          <w:szCs w:val="28"/>
        </w:rPr>
        <w:t xml:space="preserve"> </w:t>
      </w:r>
      <w:r w:rsidR="00A17C51">
        <w:rPr>
          <w:rFonts w:ascii="Arial" w:hAnsi="Arial" w:cs="Arial"/>
          <w:b/>
          <w:bCs/>
          <w:sz w:val="28"/>
          <w:szCs w:val="28"/>
        </w:rPr>
        <w:t>09</w:t>
      </w:r>
      <w:r w:rsidR="006205F7">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008373E5">
        <w:rPr>
          <w:rFonts w:ascii="Arial" w:hAnsi="Arial" w:cs="Arial"/>
          <w:b/>
          <w:bCs/>
          <w:sz w:val="32"/>
          <w:szCs w:val="32"/>
        </w:rPr>
        <w:t>ME/</w:t>
      </w:r>
      <w:r w:rsidRPr="00A17945">
        <w:rPr>
          <w:rFonts w:ascii="Arial" w:hAnsi="Arial" w:cs="Arial"/>
          <w:b/>
          <w:bCs/>
          <w:sz w:val="32"/>
          <w:szCs w:val="32"/>
        </w:rPr>
        <w:t>EPP/EQUIPARADAS</w:t>
      </w:r>
      <w:r w:rsidR="00BF21EE">
        <w:rPr>
          <w:rFonts w:ascii="Arial" w:hAnsi="Arial" w:cs="Arial"/>
          <w:b/>
          <w:bCs/>
          <w:sz w:val="32"/>
          <w:szCs w:val="32"/>
        </w:rPr>
        <w:t xml:space="preserve">: </w:t>
      </w:r>
      <w:r w:rsidR="008373E5">
        <w:rPr>
          <w:rFonts w:ascii="Arial" w:hAnsi="Arial" w:cs="Arial"/>
          <w:b/>
          <w:bCs/>
          <w:sz w:val="26"/>
          <w:szCs w:val="26"/>
        </w:rPr>
        <w:t>NÃO</w:t>
      </w:r>
      <w:r w:rsidR="00BF21EE">
        <w:rPr>
          <w:rFonts w:ascii="Arial" w:hAnsi="Arial" w:cs="Arial"/>
          <w:b/>
          <w:bCs/>
          <w:sz w:val="26"/>
          <w:szCs w:val="26"/>
        </w:rPr>
        <w:t xml:space="preserve">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1F5B19">
        <w:rPr>
          <w:rFonts w:ascii="Arial" w:hAnsi="Arial" w:cs="Arial"/>
        </w:rPr>
        <w:t>11</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w:t>
      </w:r>
      <w:r w:rsidR="00A14893" w:rsidRPr="00A14893">
        <w:rPr>
          <w:rFonts w:ascii="Arial" w:hAnsi="Arial" w:cs="Arial"/>
          <w:bCs/>
        </w:rPr>
        <w:t>implantação do viário Pirarucu - Interligação de Carapicuíba e Barueri</w:t>
      </w:r>
      <w:r w:rsidR="00A14893" w:rsidRPr="005D513B">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DD4D3D">
        <w:rPr>
          <w:rFonts w:ascii="Arial" w:hAnsi="Arial" w:cs="Arial"/>
        </w:rPr>
        <w:t>07</w:t>
      </w:r>
      <w:r w:rsidR="001F1BA8">
        <w:rPr>
          <w:rFonts w:ascii="Arial" w:hAnsi="Arial" w:cs="Arial"/>
        </w:rPr>
        <w:t xml:space="preserve"> / </w:t>
      </w:r>
      <w:r w:rsidR="00DD4D3D">
        <w:rPr>
          <w:rFonts w:ascii="Arial" w:hAnsi="Arial" w:cs="Arial"/>
        </w:rPr>
        <w:t>05</w:t>
      </w:r>
      <w:r w:rsidR="001F1BA8">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DD4D3D">
        <w:rPr>
          <w:rFonts w:ascii="Arial" w:hAnsi="Arial" w:cs="Arial"/>
        </w:rPr>
        <w:t>09</w:t>
      </w:r>
      <w:r w:rsidR="001F1BA8">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w:t>
      </w:r>
      <w:r w:rsidR="00A14893" w:rsidRPr="00A14893">
        <w:rPr>
          <w:rFonts w:ascii="Arial" w:hAnsi="Arial" w:cs="Arial"/>
          <w:bCs/>
        </w:rPr>
        <w:t>implantação do viário Pirarucu - Interligação de Carapicuíba e Barueri</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615E42">
        <w:rPr>
          <w:rFonts w:ascii="Arial" w:eastAsia="Times New Roman" w:hAnsi="Arial" w:cs="Arial"/>
          <w:lang w:eastAsia="ar-SA"/>
        </w:rPr>
        <w:t>Projetos Especiais, Convênios e Habitação</w:t>
      </w:r>
      <w:r w:rsidR="009D5953">
        <w:rPr>
          <w:rFonts w:ascii="Arial"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B32C48">
        <w:rPr>
          <w:rFonts w:ascii="Arial" w:hAnsi="Arial" w:cs="Arial"/>
        </w:rPr>
        <w:t>36</w:t>
      </w:r>
      <w:r w:rsidR="00761BD1">
        <w:rPr>
          <w:rFonts w:ascii="Arial" w:hAnsi="Arial" w:cs="Arial"/>
        </w:rPr>
        <w:t>0</w:t>
      </w:r>
      <w:r w:rsidRPr="0023216F">
        <w:rPr>
          <w:rFonts w:ascii="Arial" w:hAnsi="Arial" w:cs="Arial"/>
        </w:rPr>
        <w:t xml:space="preserve"> (</w:t>
      </w:r>
      <w:r w:rsidR="00B32C48">
        <w:rPr>
          <w:rFonts w:ascii="Arial" w:hAnsi="Arial" w:cs="Arial"/>
        </w:rPr>
        <w:t>tre</w:t>
      </w:r>
      <w:r w:rsidR="007B128E">
        <w:rPr>
          <w:rFonts w:ascii="Arial" w:hAnsi="Arial" w:cs="Arial"/>
        </w:rPr>
        <w:t xml:space="preserve">zentos e </w:t>
      </w:r>
      <w:r w:rsidR="00B32C48">
        <w:rPr>
          <w:rFonts w:ascii="Arial" w:hAnsi="Arial" w:cs="Arial"/>
        </w:rPr>
        <w:t>sess</w:t>
      </w:r>
      <w:r w:rsidR="007B128E">
        <w:rPr>
          <w:rFonts w:ascii="Arial" w:hAnsi="Arial" w:cs="Arial"/>
        </w:rPr>
        <w: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8517A2">
        <w:rPr>
          <w:rFonts w:ascii="Arial" w:hAnsi="Arial" w:cs="Arial"/>
        </w:rPr>
        <w:t>21</w:t>
      </w:r>
      <w:r w:rsidR="00A661A2">
        <w:rPr>
          <w:rFonts w:ascii="Arial" w:hAnsi="Arial" w:cs="Arial"/>
        </w:rPr>
        <w:t xml:space="preserve">.01.15.451.0006.4.4.90.51-99 (transferências e convênios </w:t>
      </w:r>
      <w:r w:rsidR="00B32C48">
        <w:rPr>
          <w:rFonts w:ascii="Arial" w:hAnsi="Arial" w:cs="Arial"/>
        </w:rPr>
        <w:t>Estaduais</w:t>
      </w:r>
      <w:r w:rsidR="00A661A2">
        <w:rPr>
          <w:rFonts w:ascii="Arial" w:hAnsi="Arial" w:cs="Arial"/>
        </w:rPr>
        <w:t xml:space="preserve"> - vinculados) e </w:t>
      </w:r>
      <w:r w:rsidR="008517A2">
        <w:rPr>
          <w:rFonts w:ascii="Arial" w:hAnsi="Arial" w:cs="Arial"/>
        </w:rPr>
        <w:t>21</w:t>
      </w:r>
      <w:r w:rsidR="00A661A2">
        <w:rPr>
          <w:rFonts w:ascii="Arial" w:hAnsi="Arial" w:cs="Arial"/>
        </w:rPr>
        <w:t>.01.15.451.0006.4.4.90.51-99 (</w:t>
      </w:r>
      <w:r w:rsidR="00B32C48">
        <w:rPr>
          <w:rFonts w:ascii="Arial" w:hAnsi="Arial" w:cs="Arial"/>
        </w:rPr>
        <w:t>tesouro</w:t>
      </w:r>
      <w:r w:rsidR="00A661A2">
        <w:rPr>
          <w:rFonts w:ascii="Arial" w:hAnsi="Arial" w:cs="Arial"/>
        </w:rPr>
        <w:t>)</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AF2A69" w:rsidRPr="00AF2A69">
        <w:rPr>
          <w:rFonts w:ascii="Arial" w:hAnsi="Arial" w:cs="Arial"/>
          <w:bCs/>
        </w:rPr>
        <w:t>6.129.424,74</w:t>
      </w:r>
      <w:r w:rsidR="00AF2A69" w:rsidRPr="0023216F">
        <w:rPr>
          <w:rFonts w:ascii="Arial" w:hAnsi="Arial" w:cs="Arial"/>
        </w:rPr>
        <w:t xml:space="preserve"> </w:t>
      </w:r>
      <w:r w:rsidRPr="0023216F">
        <w:rPr>
          <w:rFonts w:ascii="Arial" w:hAnsi="Arial" w:cs="Arial"/>
        </w:rPr>
        <w:t>(</w:t>
      </w:r>
      <w:r w:rsidR="00AF2A69">
        <w:rPr>
          <w:rFonts w:ascii="Arial" w:hAnsi="Arial" w:cs="Arial"/>
        </w:rPr>
        <w:t>seis</w:t>
      </w:r>
      <w:r w:rsidR="00896AC5">
        <w:rPr>
          <w:rFonts w:ascii="Arial" w:hAnsi="Arial" w:cs="Arial"/>
        </w:rPr>
        <w:t xml:space="preserve"> milh</w:t>
      </w:r>
      <w:r w:rsidR="00AF2A69">
        <w:rPr>
          <w:rFonts w:ascii="Arial" w:hAnsi="Arial" w:cs="Arial"/>
        </w:rPr>
        <w:t>ões</w:t>
      </w:r>
      <w:r w:rsidR="00896AC5">
        <w:rPr>
          <w:rFonts w:ascii="Arial" w:hAnsi="Arial" w:cs="Arial"/>
        </w:rPr>
        <w:t xml:space="preserve">, </w:t>
      </w:r>
      <w:r w:rsidR="00AF2A69">
        <w:rPr>
          <w:rFonts w:ascii="Arial" w:hAnsi="Arial" w:cs="Arial"/>
        </w:rPr>
        <w:t>c</w:t>
      </w:r>
      <w:r w:rsidR="00AD2CAD">
        <w:rPr>
          <w:rFonts w:ascii="Arial" w:hAnsi="Arial" w:cs="Arial"/>
        </w:rPr>
        <w:t xml:space="preserve">ento e </w:t>
      </w:r>
      <w:r w:rsidR="00AF2A69">
        <w:rPr>
          <w:rFonts w:ascii="Arial" w:hAnsi="Arial" w:cs="Arial"/>
        </w:rPr>
        <w:t>vinte e nove</w:t>
      </w:r>
      <w:r w:rsidR="00B31476">
        <w:rPr>
          <w:rFonts w:ascii="Arial" w:hAnsi="Arial" w:cs="Arial"/>
        </w:rPr>
        <w:t xml:space="preserve"> mil, </w:t>
      </w:r>
      <w:r w:rsidR="00AF2A69">
        <w:rPr>
          <w:rFonts w:ascii="Arial" w:hAnsi="Arial" w:cs="Arial"/>
        </w:rPr>
        <w:t>quatro</w:t>
      </w:r>
      <w:r w:rsidR="00290C10">
        <w:rPr>
          <w:rFonts w:ascii="Arial" w:hAnsi="Arial" w:cs="Arial"/>
        </w:rPr>
        <w:t xml:space="preserve">centos e </w:t>
      </w:r>
      <w:r w:rsidR="00AF2A69">
        <w:rPr>
          <w:rFonts w:ascii="Arial" w:hAnsi="Arial" w:cs="Arial"/>
        </w:rPr>
        <w:t>vinte e quatro</w:t>
      </w:r>
      <w:r w:rsidR="00B31476">
        <w:rPr>
          <w:rFonts w:ascii="Arial" w:hAnsi="Arial" w:cs="Arial"/>
        </w:rPr>
        <w:t xml:space="preserve"> reais e </w:t>
      </w:r>
      <w:r w:rsidR="00AD2CAD">
        <w:rPr>
          <w:rFonts w:ascii="Arial" w:hAnsi="Arial" w:cs="Arial"/>
        </w:rPr>
        <w:t>se</w:t>
      </w:r>
      <w:r w:rsidR="00AF2A69">
        <w:rPr>
          <w:rFonts w:ascii="Arial" w:hAnsi="Arial" w:cs="Arial"/>
        </w:rPr>
        <w:t>t</w:t>
      </w:r>
      <w:r w:rsidR="00AD2CAD">
        <w:rPr>
          <w:rFonts w:ascii="Arial" w:hAnsi="Arial" w:cs="Arial"/>
        </w:rPr>
        <w:t xml:space="preserve">enta e </w:t>
      </w:r>
      <w:r w:rsidR="00AF2A69">
        <w:rPr>
          <w:rFonts w:ascii="Arial" w:hAnsi="Arial" w:cs="Arial"/>
        </w:rPr>
        <w:t>quatro</w:t>
      </w:r>
      <w:r w:rsidR="00B31476">
        <w:rPr>
          <w:rFonts w:ascii="Arial" w:hAnsi="Arial" w:cs="Arial"/>
        </w:rPr>
        <w:t xml:space="preserve"> </w:t>
      </w:r>
      <w:r w:rsidR="00B31476">
        <w:rPr>
          <w:rFonts w:ascii="Arial" w:hAnsi="Arial" w:cs="Arial"/>
        </w:rPr>
        <w:lastRenderedPageBreak/>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7A3BEC">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w:t>
      </w:r>
      <w:r w:rsidR="00A6504C">
        <w:rPr>
          <w:rFonts w:ascii="Arial" w:eastAsia="Times New Roman" w:hAnsi="Arial" w:cs="Arial"/>
          <w:lang w:eastAsia="ar-SA"/>
        </w:rPr>
        <w:t>Projetos Especiais, Convênios e Habitação</w:t>
      </w:r>
      <w:r w:rsidR="004B7971" w:rsidRPr="00374E7C">
        <w:rPr>
          <w:rFonts w:ascii="Arial" w:hAnsi="Arial" w:cs="Arial"/>
        </w:rPr>
        <w:t xml:space="preserve"> com </w:t>
      </w:r>
      <w:r w:rsidR="007A4C1E" w:rsidRPr="007A4C1E">
        <w:rPr>
          <w:rFonts w:ascii="Arial" w:eastAsia="Times New Roman" w:hAnsi="Arial" w:cs="Arial"/>
          <w:lang w:eastAsia="ar-SA"/>
        </w:rPr>
        <w:t xml:space="preserve">o Sr. Tércio, sita a Rua Joaquim das Neves, 211, Vila Caldas, Carapicuíba – telefone: (11) 4164.5500 - Ramal 5341, ou através do e-mail: </w:t>
      </w:r>
      <w:hyperlink r:id="rId10" w:history="1">
        <w:r w:rsidR="007A4C1E" w:rsidRPr="007A4C1E">
          <w:rPr>
            <w:rFonts w:ascii="Arial" w:eastAsia="Times New Roman" w:hAnsi="Arial" w:cs="Arial"/>
            <w:color w:val="0000FF"/>
            <w:u w:val="single"/>
            <w:lang w:eastAsia="ar-SA"/>
          </w:rPr>
          <w:t>diretoria.habitacao@carapicuiba.sp.gov.br</w:t>
        </w:r>
      </w:hyperlink>
      <w:r w:rsidR="004B7971" w:rsidRPr="00374E7C">
        <w:rPr>
          <w:rFonts w:ascii="Arial" w:hAnsi="Arial" w:cs="Arial"/>
        </w:rPr>
        <w:t xml:space="preserve">.  A Secretaria de </w:t>
      </w:r>
      <w:r w:rsidR="00A6504C">
        <w:rPr>
          <w:rFonts w:ascii="Arial" w:eastAsia="Times New Roman" w:hAnsi="Arial" w:cs="Arial"/>
          <w:lang w:eastAsia="ar-SA"/>
        </w:rPr>
        <w:t>Projetos Especiais, Convênios e Habitação</w:t>
      </w:r>
      <w:r w:rsidR="004B7971" w:rsidRPr="00374E7C">
        <w:rPr>
          <w:rFonts w:ascii="Arial" w:hAnsi="Arial" w:cs="Arial"/>
        </w:rPr>
        <w:t>,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BA20B0">
        <w:rPr>
          <w:rFonts w:ascii="Arial" w:eastAsia="Times New Roman" w:hAnsi="Arial" w:cs="Arial"/>
          <w:b/>
          <w:bCs/>
          <w:lang w:eastAsia="ar-SA"/>
        </w:rPr>
        <w:t xml:space="preserve"> </w:t>
      </w:r>
      <w:r w:rsidR="00220B6B">
        <w:rPr>
          <w:rFonts w:ascii="Arial" w:eastAsia="Times New Roman" w:hAnsi="Arial" w:cs="Arial"/>
          <w:b/>
          <w:bCs/>
          <w:lang w:eastAsia="ar-SA"/>
        </w:rPr>
        <w:t>6310</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1E4078">
        <w:rPr>
          <w:rFonts w:ascii="Arial" w:eastAsia="Times New Roman" w:hAnsi="Arial" w:cs="Arial"/>
          <w:b/>
          <w:bCs/>
          <w:lang w:eastAsia="ar-SA"/>
        </w:rPr>
        <w:t>11</w:t>
      </w:r>
      <w:r w:rsidR="009309D7">
        <w:rPr>
          <w:rFonts w:ascii="Arial" w:eastAsia="Times New Roman" w:hAnsi="Arial" w:cs="Arial"/>
          <w:b/>
          <w:bCs/>
          <w:lang w:eastAsia="ar-SA"/>
        </w:rPr>
        <w:t xml:space="preserve"> </w:t>
      </w:r>
      <w:r w:rsidRPr="00126BD0">
        <w:rPr>
          <w:rFonts w:ascii="Arial" w:eastAsia="Times New Roman" w:hAnsi="Arial" w:cs="Arial"/>
          <w:b/>
          <w:bCs/>
          <w:lang w:eastAsia="ar-SA"/>
        </w:rPr>
        <w:t>/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51677A">
        <w:rPr>
          <w:rFonts w:ascii="Arial" w:eastAsia="Times New Roman" w:hAnsi="Arial" w:cs="Arial"/>
          <w:b/>
          <w:bCs/>
          <w:lang w:eastAsia="ar-SA"/>
        </w:rPr>
        <w:t>6310</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1E4078">
        <w:rPr>
          <w:rFonts w:ascii="Arial" w:eastAsia="Times New Roman" w:hAnsi="Arial" w:cs="Arial"/>
          <w:b/>
          <w:bCs/>
          <w:lang w:eastAsia="ar-SA"/>
        </w:rPr>
        <w:t>11</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7A3BEC" w:rsidRDefault="007A3BEC"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AE2CEC">
        <w:rPr>
          <w:rFonts w:ascii="Arial" w:hAnsi="Arial" w:cs="Arial"/>
        </w:rPr>
        <w:t>61</w:t>
      </w:r>
      <w:r w:rsidR="00525E41">
        <w:rPr>
          <w:rFonts w:ascii="Arial" w:hAnsi="Arial" w:cs="Arial"/>
        </w:rPr>
        <w:t>.</w:t>
      </w:r>
      <w:r w:rsidR="00AE2CEC">
        <w:rPr>
          <w:rFonts w:ascii="Arial" w:hAnsi="Arial" w:cs="Arial"/>
        </w:rPr>
        <w:t>294</w:t>
      </w:r>
      <w:r w:rsidR="00525E41">
        <w:rPr>
          <w:rFonts w:ascii="Arial" w:hAnsi="Arial" w:cs="Arial"/>
        </w:rPr>
        <w:t>,</w:t>
      </w:r>
      <w:r w:rsidR="00AE2CEC">
        <w:rPr>
          <w:rFonts w:ascii="Arial" w:hAnsi="Arial" w:cs="Arial"/>
        </w:rPr>
        <w:t>24</w:t>
      </w:r>
      <w:r w:rsidRPr="0023216F">
        <w:rPr>
          <w:rFonts w:ascii="Arial" w:hAnsi="Arial" w:cs="Arial"/>
        </w:rPr>
        <w:t xml:space="preserve"> (</w:t>
      </w:r>
      <w:r w:rsidR="007207A2">
        <w:rPr>
          <w:rFonts w:ascii="Arial" w:hAnsi="Arial" w:cs="Arial"/>
        </w:rPr>
        <w:t>sessenta e um</w:t>
      </w:r>
      <w:r w:rsidR="009A036A">
        <w:rPr>
          <w:rFonts w:ascii="Arial" w:hAnsi="Arial" w:cs="Arial"/>
        </w:rPr>
        <w:t xml:space="preserve"> mil, </w:t>
      </w:r>
      <w:r w:rsidR="007207A2">
        <w:rPr>
          <w:rFonts w:ascii="Arial" w:hAnsi="Arial" w:cs="Arial"/>
        </w:rPr>
        <w:t>duzentos e noventa e quatro</w:t>
      </w:r>
      <w:r w:rsidR="009F46B4">
        <w:rPr>
          <w:rFonts w:ascii="Arial" w:hAnsi="Arial" w:cs="Arial"/>
        </w:rPr>
        <w:t xml:space="preserve"> </w:t>
      </w:r>
      <w:r w:rsidR="009A036A">
        <w:rPr>
          <w:rFonts w:ascii="Arial" w:hAnsi="Arial" w:cs="Arial"/>
        </w:rPr>
        <w:t xml:space="preserve">reais e </w:t>
      </w:r>
      <w:r w:rsidR="007207A2">
        <w:rPr>
          <w:rFonts w:ascii="Arial" w:hAnsi="Arial" w:cs="Arial"/>
        </w:rPr>
        <w:t>vinte e quatro</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107266">
        <w:rPr>
          <w:rFonts w:ascii="Arial" w:hAnsi="Arial" w:cs="Arial"/>
        </w:rPr>
        <w:t xml:space="preserve"> de BDI</w:t>
      </w:r>
      <w:r w:rsidR="003B2DEE">
        <w:rPr>
          <w:rFonts w:ascii="Arial" w:eastAsia="Times New Roman" w:hAnsi="Arial" w:cs="Arial"/>
        </w:rPr>
        <w:t>,</w:t>
      </w:r>
      <w:proofErr w:type="gramStart"/>
      <w:r w:rsidR="003B2DEE">
        <w:rPr>
          <w:rFonts w:ascii="Arial" w:eastAsia="Times New Roman" w:hAnsi="Arial" w:cs="Arial"/>
        </w:rPr>
        <w:t xml:space="preserve"> </w:t>
      </w:r>
      <w:r w:rsidR="003B2DEE">
        <w:rPr>
          <w:rFonts w:ascii="Arial" w:eastAsia="Times New Roman" w:hAnsi="Arial" w:cs="Arial"/>
          <w:b/>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lastRenderedPageBreak/>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lastRenderedPageBreak/>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7722F3" w:rsidRDefault="007722F3"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W w:w="9370" w:type="dxa"/>
        <w:tblInd w:w="56" w:type="dxa"/>
        <w:tblCellMar>
          <w:left w:w="70" w:type="dxa"/>
          <w:right w:w="70" w:type="dxa"/>
        </w:tblCellMar>
        <w:tblLook w:val="04A0" w:firstRow="1" w:lastRow="0" w:firstColumn="1" w:lastColumn="0" w:noHBand="0" w:noVBand="1"/>
      </w:tblPr>
      <w:tblGrid>
        <w:gridCol w:w="2203"/>
        <w:gridCol w:w="16"/>
        <w:gridCol w:w="30"/>
        <w:gridCol w:w="114"/>
        <w:gridCol w:w="4156"/>
        <w:gridCol w:w="940"/>
        <w:gridCol w:w="160"/>
        <w:gridCol w:w="1751"/>
      </w:tblGrid>
      <w:tr w:rsidR="00DD5ABD" w:rsidRPr="00DD5ABD" w:rsidTr="003A0BFA">
        <w:trPr>
          <w:trHeight w:val="315"/>
        </w:trPr>
        <w:tc>
          <w:tcPr>
            <w:tcW w:w="6519" w:type="dxa"/>
            <w:gridSpan w:val="5"/>
            <w:tcBorders>
              <w:top w:val="single" w:sz="4" w:space="0" w:color="auto"/>
              <w:left w:val="single" w:sz="8" w:space="0" w:color="auto"/>
              <w:bottom w:val="single" w:sz="4" w:space="0" w:color="auto"/>
              <w:right w:val="single" w:sz="8" w:space="0" w:color="auto"/>
            </w:tcBorders>
            <w:shd w:val="clear" w:color="000000" w:fill="FFFFFF"/>
            <w:vAlign w:val="bottom"/>
            <w:hideMark/>
          </w:tcPr>
          <w:p w:rsidR="00DD5ABD" w:rsidRPr="00DD5ABD" w:rsidRDefault="00DD5ABD" w:rsidP="00DD5ABD">
            <w:pPr>
              <w:jc w:val="center"/>
              <w:rPr>
                <w:rFonts w:ascii="Arial" w:eastAsia="Times New Roman" w:hAnsi="Arial" w:cs="Arial"/>
                <w:b/>
                <w:bCs/>
                <w:color w:val="000000"/>
                <w:sz w:val="22"/>
                <w:szCs w:val="22"/>
              </w:rPr>
            </w:pPr>
            <w:r w:rsidRPr="00DD5ABD">
              <w:rPr>
                <w:rFonts w:ascii="Arial" w:eastAsia="Times New Roman" w:hAnsi="Arial" w:cs="Arial"/>
                <w:b/>
                <w:bCs/>
                <w:color w:val="000000"/>
                <w:sz w:val="22"/>
                <w:szCs w:val="22"/>
              </w:rPr>
              <w:t>DESCRIÇÃO DOS SERVIÇOS</w:t>
            </w:r>
          </w:p>
        </w:tc>
        <w:tc>
          <w:tcPr>
            <w:tcW w:w="940" w:type="dxa"/>
            <w:tcBorders>
              <w:top w:val="single" w:sz="4" w:space="0" w:color="auto"/>
              <w:left w:val="nil"/>
              <w:bottom w:val="single" w:sz="8" w:space="0" w:color="auto"/>
              <w:right w:val="single" w:sz="8" w:space="0" w:color="auto"/>
            </w:tcBorders>
            <w:shd w:val="clear" w:color="000000" w:fill="FFFFFF"/>
            <w:vAlign w:val="bottom"/>
            <w:hideMark/>
          </w:tcPr>
          <w:p w:rsidR="00DD5ABD" w:rsidRPr="00DD5ABD" w:rsidRDefault="00DD5ABD" w:rsidP="00DD5ABD">
            <w:pPr>
              <w:jc w:val="center"/>
              <w:rPr>
                <w:rFonts w:ascii="Arial" w:eastAsia="Times New Roman" w:hAnsi="Arial" w:cs="Arial"/>
                <w:b/>
                <w:bCs/>
                <w:color w:val="000000"/>
                <w:sz w:val="22"/>
                <w:szCs w:val="22"/>
              </w:rPr>
            </w:pPr>
            <w:r w:rsidRPr="00DD5ABD">
              <w:rPr>
                <w:rFonts w:ascii="Arial" w:eastAsia="Times New Roman" w:hAnsi="Arial" w:cs="Arial"/>
                <w:b/>
                <w:bCs/>
                <w:color w:val="000000"/>
                <w:sz w:val="22"/>
                <w:szCs w:val="22"/>
              </w:rPr>
              <w:t>UN.</w:t>
            </w:r>
          </w:p>
        </w:tc>
        <w:tc>
          <w:tcPr>
            <w:tcW w:w="1911" w:type="dxa"/>
            <w:gridSpan w:val="2"/>
            <w:tcBorders>
              <w:top w:val="single" w:sz="4" w:space="0" w:color="auto"/>
              <w:left w:val="nil"/>
              <w:bottom w:val="single" w:sz="8" w:space="0" w:color="auto"/>
              <w:right w:val="single" w:sz="8" w:space="0" w:color="auto"/>
            </w:tcBorders>
            <w:shd w:val="clear" w:color="000000" w:fill="FFFFFF"/>
            <w:vAlign w:val="bottom"/>
            <w:hideMark/>
          </w:tcPr>
          <w:p w:rsidR="00DD5ABD" w:rsidRPr="00DD5ABD" w:rsidRDefault="00DD5ABD" w:rsidP="00DD5ABD">
            <w:pPr>
              <w:jc w:val="center"/>
              <w:rPr>
                <w:rFonts w:ascii="Arial" w:eastAsia="Times New Roman" w:hAnsi="Arial" w:cs="Arial"/>
                <w:b/>
                <w:bCs/>
                <w:color w:val="000000"/>
                <w:sz w:val="22"/>
                <w:szCs w:val="22"/>
              </w:rPr>
            </w:pPr>
            <w:r w:rsidRPr="00DD5ABD">
              <w:rPr>
                <w:rFonts w:ascii="Arial" w:eastAsia="Times New Roman" w:hAnsi="Arial" w:cs="Arial"/>
                <w:b/>
                <w:bCs/>
                <w:color w:val="000000"/>
                <w:sz w:val="22"/>
                <w:szCs w:val="22"/>
              </w:rPr>
              <w:t>QUANT</w:t>
            </w:r>
            <w:r w:rsidRPr="00DD5ABD">
              <w:rPr>
                <w:rFonts w:ascii="Arial" w:eastAsia="Times New Roman" w:hAnsi="Arial" w:cs="Arial"/>
                <w:color w:val="000000"/>
                <w:sz w:val="22"/>
                <w:szCs w:val="22"/>
              </w:rPr>
              <w:t>.</w:t>
            </w:r>
          </w:p>
        </w:tc>
      </w:tr>
      <w:tr w:rsidR="00DD5ABD" w:rsidRPr="00DD5ABD" w:rsidTr="003A0BFA">
        <w:trPr>
          <w:trHeight w:val="58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Times New Roman" w:hAnsi="Calibri" w:cs="Calibri"/>
                <w:color w:val="000000"/>
                <w:sz w:val="22"/>
                <w:szCs w:val="22"/>
              </w:rPr>
              <w:t xml:space="preserve"> </w:t>
            </w:r>
            <w:proofErr w:type="gramStart"/>
            <w:r w:rsidRPr="00DD5ABD">
              <w:rPr>
                <w:rFonts w:ascii="Calibri" w:eastAsia="Arial" w:hAnsi="Calibri" w:cs="Calibri"/>
                <w:color w:val="000000"/>
                <w:sz w:val="22"/>
                <w:szCs w:val="22"/>
              </w:rPr>
              <w:t>Fv.</w:t>
            </w:r>
            <w:proofErr w:type="gramEnd"/>
            <w:r w:rsidRPr="00DD5ABD">
              <w:rPr>
                <w:rFonts w:ascii="Calibri" w:eastAsia="Arial" w:hAnsi="Calibri" w:cs="Calibri"/>
                <w:color w:val="000000"/>
                <w:sz w:val="22"/>
                <w:szCs w:val="22"/>
              </w:rPr>
              <w:t>15/16 - muro de fecho em blocos e estrutura de concreto, fundação com brocas</w:t>
            </w:r>
          </w:p>
        </w:tc>
        <w:tc>
          <w:tcPr>
            <w:tcW w:w="940" w:type="dxa"/>
            <w:vMerge w:val="restart"/>
            <w:tcBorders>
              <w:top w:val="nil"/>
              <w:left w:val="single" w:sz="4" w:space="0" w:color="auto"/>
              <w:right w:val="single" w:sz="8" w:space="0" w:color="auto"/>
            </w:tcBorders>
            <w:shd w:val="clear" w:color="auto" w:fill="auto"/>
            <w:vAlign w:val="center"/>
            <w:hideMark/>
          </w:tcPr>
          <w:p w:rsidR="00DD5ABD" w:rsidRPr="00DD5ABD" w:rsidRDefault="00DD5ABD" w:rsidP="00DD5ABD">
            <w:pPr>
              <w:spacing w:line="276" w:lineRule="auto"/>
              <w:jc w:val="center"/>
              <w:rPr>
                <w:rFonts w:ascii="Calibri" w:eastAsia="Arial" w:hAnsi="Calibri" w:cs="Calibri"/>
                <w:color w:val="000000"/>
                <w:sz w:val="22"/>
                <w:szCs w:val="22"/>
              </w:rPr>
            </w:pPr>
            <w:r w:rsidRPr="00DD5ABD">
              <w:rPr>
                <w:rFonts w:ascii="Calibri" w:eastAsia="Arial" w:hAnsi="Calibri" w:cs="Calibri"/>
                <w:color w:val="000000"/>
                <w:sz w:val="22"/>
                <w:szCs w:val="22"/>
              </w:rPr>
              <w:t>M3XKM</w:t>
            </w:r>
          </w:p>
          <w:p w:rsidR="00DD5ABD" w:rsidRPr="00DD5ABD" w:rsidRDefault="00DD5ABD" w:rsidP="00DD5ABD">
            <w:pPr>
              <w:jc w:val="center"/>
              <w:rPr>
                <w:rFonts w:ascii="Arial" w:eastAsia="Times New Roman" w:hAnsi="Arial" w:cs="Arial"/>
                <w:color w:val="000000"/>
                <w:sz w:val="22"/>
                <w:szCs w:val="22"/>
              </w:rPr>
            </w:pPr>
          </w:p>
        </w:tc>
        <w:tc>
          <w:tcPr>
            <w:tcW w:w="1911" w:type="dxa"/>
            <w:gridSpan w:val="2"/>
            <w:vMerge w:val="restart"/>
            <w:tcBorders>
              <w:top w:val="nil"/>
              <w:left w:val="nil"/>
              <w:right w:val="single" w:sz="8" w:space="0" w:color="auto"/>
            </w:tcBorders>
            <w:shd w:val="clear" w:color="auto" w:fill="auto"/>
            <w:vAlign w:val="center"/>
            <w:hideMark/>
          </w:tcPr>
          <w:p w:rsidR="00DD5ABD" w:rsidRPr="00DD5ABD" w:rsidRDefault="00DD5ABD" w:rsidP="00AA5EE9">
            <w:pPr>
              <w:jc w:val="center"/>
              <w:rPr>
                <w:rFonts w:ascii="Calibri" w:eastAsia="Times New Roman" w:hAnsi="Calibri" w:cs="Calibri"/>
                <w:color w:val="000000"/>
                <w:sz w:val="22"/>
                <w:szCs w:val="22"/>
              </w:rPr>
            </w:pPr>
            <w:r w:rsidRPr="00DD5ABD">
              <w:rPr>
                <w:rFonts w:ascii="Calibri" w:eastAsia="Times New Roman" w:hAnsi="Calibri" w:cs="Calibri"/>
                <w:color w:val="000000"/>
                <w:sz w:val="22"/>
                <w:szCs w:val="22"/>
              </w:rPr>
              <w:t>287</w:t>
            </w:r>
          </w:p>
        </w:tc>
      </w:tr>
      <w:tr w:rsidR="00DD5ABD" w:rsidRPr="00DD5ABD" w:rsidTr="003A0BFA">
        <w:trPr>
          <w:trHeight w:val="330"/>
        </w:trPr>
        <w:tc>
          <w:tcPr>
            <w:tcW w:w="2249" w:type="dxa"/>
            <w:gridSpan w:val="3"/>
            <w:tcBorders>
              <w:left w:val="single" w:sz="4" w:space="0" w:color="auto"/>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c>
          <w:tcPr>
            <w:tcW w:w="4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Times New Roman" w:hAnsi="Calibri" w:cs="Calibri"/>
                <w:color w:val="000000"/>
                <w:sz w:val="22"/>
                <w:szCs w:val="22"/>
              </w:rPr>
              <w:t>Observação: Relevância Técnica e de Valor</w:t>
            </w:r>
          </w:p>
        </w:tc>
        <w:tc>
          <w:tcPr>
            <w:tcW w:w="940" w:type="dxa"/>
            <w:vMerge/>
            <w:tcBorders>
              <w:left w:val="single" w:sz="4" w:space="0" w:color="auto"/>
              <w:bottom w:val="single" w:sz="8"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8" w:space="0" w:color="auto"/>
              <w:right w:val="single" w:sz="8"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61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Arial" w:hAnsi="Calibri" w:cs="Calibri"/>
                <w:color w:val="000000"/>
                <w:sz w:val="22"/>
                <w:szCs w:val="22"/>
              </w:rPr>
              <w:t xml:space="preserve">TRANSPORTE DE TERRA POR CAMINHÃO BASCULANTE, A PARTIR DE </w:t>
            </w:r>
            <w:proofErr w:type="gramStart"/>
            <w:r w:rsidRPr="00DD5ABD">
              <w:rPr>
                <w:rFonts w:ascii="Calibri" w:eastAsia="Arial" w:hAnsi="Calibri" w:cs="Calibri"/>
                <w:color w:val="000000"/>
                <w:sz w:val="22"/>
                <w:szCs w:val="22"/>
              </w:rPr>
              <w:t>1KM</w:t>
            </w:r>
            <w:proofErr w:type="gramEnd"/>
          </w:p>
        </w:tc>
        <w:tc>
          <w:tcPr>
            <w:tcW w:w="940" w:type="dxa"/>
            <w:vMerge w:val="restart"/>
            <w:tcBorders>
              <w:top w:val="nil"/>
              <w:left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roofErr w:type="gramStart"/>
            <w:r w:rsidRPr="00DD5ABD">
              <w:rPr>
                <w:rFonts w:ascii="Arial" w:eastAsia="Arial" w:hAnsi="Arial" w:cs="Arial"/>
                <w:sz w:val="20"/>
                <w:szCs w:val="20"/>
              </w:rPr>
              <w:t>m³</w:t>
            </w:r>
            <w:proofErr w:type="gramEnd"/>
          </w:p>
        </w:tc>
        <w:tc>
          <w:tcPr>
            <w:tcW w:w="1911" w:type="dxa"/>
            <w:gridSpan w:val="2"/>
            <w:vMerge w:val="restart"/>
            <w:tcBorders>
              <w:top w:val="nil"/>
              <w:left w:val="nil"/>
              <w:right w:val="single" w:sz="4"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39.045</w:t>
            </w:r>
          </w:p>
        </w:tc>
      </w:tr>
      <w:tr w:rsidR="00DD5ABD" w:rsidRPr="00DD5ABD" w:rsidTr="003A0BFA">
        <w:trPr>
          <w:trHeight w:val="300"/>
        </w:trPr>
        <w:tc>
          <w:tcPr>
            <w:tcW w:w="2219" w:type="dxa"/>
            <w:gridSpan w:val="2"/>
            <w:tcBorders>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c>
          <w:tcPr>
            <w:tcW w:w="4300" w:type="dxa"/>
            <w:gridSpan w:val="3"/>
            <w:tcBorders>
              <w:top w:val="single" w:sz="4" w:space="0" w:color="auto"/>
              <w:left w:val="single" w:sz="4" w:space="0" w:color="auto"/>
              <w:right w:val="single" w:sz="4" w:space="0" w:color="auto"/>
            </w:tcBorders>
            <w:shd w:val="clear" w:color="auto" w:fill="auto"/>
            <w:vAlign w:val="center"/>
          </w:tcPr>
          <w:p w:rsidR="00DD5ABD" w:rsidRPr="00DD5ABD" w:rsidRDefault="00DD5ABD" w:rsidP="00DD5ABD">
            <w:pPr>
              <w:rPr>
                <w:rFonts w:ascii="Calibri" w:eastAsia="Times New Roman" w:hAnsi="Calibri" w:cs="Calibri"/>
                <w:color w:val="000000"/>
                <w:sz w:val="22"/>
                <w:szCs w:val="22"/>
              </w:rPr>
            </w:pPr>
            <w:r w:rsidRPr="00DD5ABD">
              <w:rPr>
                <w:rFonts w:ascii="Calibri" w:eastAsia="Times New Roman" w:hAnsi="Calibri" w:cs="Calibri"/>
                <w:color w:val="000000"/>
                <w:sz w:val="22"/>
                <w:szCs w:val="22"/>
              </w:rPr>
              <w:t xml:space="preserve">   Observação: Relevância Técnica</w:t>
            </w:r>
            <w:proofErr w:type="gramStart"/>
            <w:r w:rsidRPr="00DD5ABD">
              <w:rPr>
                <w:rFonts w:ascii="Calibri" w:eastAsia="Times New Roman" w:hAnsi="Calibri" w:cs="Calibri"/>
                <w:color w:val="000000"/>
                <w:sz w:val="22"/>
                <w:szCs w:val="22"/>
              </w:rPr>
              <w:t xml:space="preserve">  </w:t>
            </w:r>
            <w:proofErr w:type="gramEnd"/>
            <w:r w:rsidRPr="00DD5ABD">
              <w:rPr>
                <w:rFonts w:ascii="Calibri" w:eastAsia="Times New Roman" w:hAnsi="Calibri" w:cs="Calibri"/>
                <w:color w:val="000000"/>
                <w:sz w:val="22"/>
                <w:szCs w:val="22"/>
              </w:rPr>
              <w:t>e de Valor</w:t>
            </w:r>
          </w:p>
        </w:tc>
        <w:tc>
          <w:tcPr>
            <w:tcW w:w="940" w:type="dxa"/>
            <w:vMerge/>
            <w:tcBorders>
              <w:left w:val="single" w:sz="4" w:space="0" w:color="auto"/>
              <w:bottom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40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r w:rsidRPr="00DD5ABD">
              <w:rPr>
                <w:rFonts w:ascii="Calibri" w:eastAsia="Arial" w:hAnsi="Calibri" w:cs="Calibri"/>
                <w:color w:val="000000"/>
                <w:sz w:val="22"/>
                <w:szCs w:val="22"/>
              </w:rPr>
              <w:t>Fundação de Rachão</w:t>
            </w:r>
          </w:p>
        </w:tc>
        <w:tc>
          <w:tcPr>
            <w:tcW w:w="940" w:type="dxa"/>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roofErr w:type="gramStart"/>
            <w:r w:rsidRPr="00DD5ABD">
              <w:rPr>
                <w:rFonts w:ascii="Arial" w:eastAsia="Arial" w:hAnsi="Arial" w:cs="Arial"/>
                <w:sz w:val="20"/>
                <w:szCs w:val="20"/>
              </w:rPr>
              <w:t>m³</w:t>
            </w:r>
            <w:proofErr w:type="gramEnd"/>
          </w:p>
        </w:tc>
        <w:tc>
          <w:tcPr>
            <w:tcW w:w="1911" w:type="dxa"/>
            <w:gridSpan w:val="2"/>
            <w:tcBorders>
              <w:top w:val="single" w:sz="4" w:space="0" w:color="auto"/>
              <w:left w:val="single" w:sz="4" w:space="0" w:color="auto"/>
              <w:right w:val="single" w:sz="4"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1.955</w:t>
            </w:r>
          </w:p>
        </w:tc>
      </w:tr>
      <w:tr w:rsidR="00DD5ABD" w:rsidRPr="00DD5ABD" w:rsidTr="003A0BFA">
        <w:trPr>
          <w:trHeight w:val="225"/>
        </w:trPr>
        <w:tc>
          <w:tcPr>
            <w:tcW w:w="2203" w:type="dxa"/>
            <w:tcBorders>
              <w:lef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p>
        </w:tc>
        <w:tc>
          <w:tcPr>
            <w:tcW w:w="160" w:type="dxa"/>
            <w:gridSpan w:val="3"/>
            <w:tcBorders>
              <w:top w:val="single" w:sz="4" w:space="0" w:color="auto"/>
              <w:left w:val="single" w:sz="4" w:space="0" w:color="auto"/>
            </w:tcBorders>
            <w:shd w:val="clear" w:color="auto" w:fill="auto"/>
            <w:vAlign w:val="center"/>
          </w:tcPr>
          <w:p w:rsidR="00DD5ABD" w:rsidRPr="00DD5ABD" w:rsidRDefault="00DD5ABD" w:rsidP="00DD5ABD">
            <w:pPr>
              <w:jc w:val="center"/>
              <w:rPr>
                <w:rFonts w:ascii="Calibri" w:eastAsia="Arial" w:hAnsi="Calibri" w:cs="Calibri"/>
                <w:color w:val="000000"/>
                <w:sz w:val="22"/>
                <w:szCs w:val="22"/>
              </w:rPr>
            </w:pPr>
          </w:p>
        </w:tc>
        <w:tc>
          <w:tcPr>
            <w:tcW w:w="4156" w:type="dxa"/>
            <w:tcBorders>
              <w:top w:val="single" w:sz="4" w:space="0" w:color="auto"/>
              <w:left w:val="nil"/>
              <w:bottom w:val="single" w:sz="4" w:space="0" w:color="auto"/>
              <w:right w:val="single" w:sz="4" w:space="0" w:color="auto"/>
            </w:tcBorders>
            <w:shd w:val="clear" w:color="auto" w:fill="auto"/>
            <w:vAlign w:val="center"/>
          </w:tcPr>
          <w:p w:rsidR="00DD5ABD" w:rsidRPr="00DD5ABD" w:rsidRDefault="00DD5ABD" w:rsidP="00DD5ABD">
            <w:pPr>
              <w:ind w:left="80"/>
              <w:jc w:val="center"/>
              <w:rPr>
                <w:rFonts w:ascii="Calibri" w:eastAsia="Arial" w:hAnsi="Calibri" w:cs="Calibri"/>
                <w:color w:val="000000"/>
                <w:sz w:val="22"/>
                <w:szCs w:val="22"/>
              </w:rPr>
            </w:pPr>
            <w:r w:rsidRPr="00DD5ABD">
              <w:rPr>
                <w:rFonts w:ascii="Calibri" w:eastAsia="Times New Roman" w:hAnsi="Calibri" w:cs="Calibri"/>
                <w:color w:val="000000"/>
                <w:sz w:val="22"/>
                <w:szCs w:val="22"/>
              </w:rPr>
              <w:t>Observação: Relevância Técnica e de Valor</w:t>
            </w:r>
          </w:p>
        </w:tc>
        <w:tc>
          <w:tcPr>
            <w:tcW w:w="940" w:type="dxa"/>
            <w:tcBorders>
              <w:left w:val="single" w:sz="4"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60" w:type="dxa"/>
            <w:tcBorders>
              <w:left w:val="single" w:sz="4" w:space="0" w:color="auto"/>
            </w:tcBorders>
            <w:shd w:val="clear" w:color="auto" w:fill="auto"/>
            <w:vAlign w:val="center"/>
          </w:tcPr>
          <w:p w:rsidR="00DD5ABD" w:rsidRPr="00DD5ABD" w:rsidRDefault="00DD5ABD" w:rsidP="00DD5ABD">
            <w:pPr>
              <w:jc w:val="center"/>
              <w:rPr>
                <w:rFonts w:ascii="Arial" w:eastAsia="Times New Roman" w:hAnsi="Arial" w:cs="Arial"/>
                <w:color w:val="000000"/>
                <w:sz w:val="22"/>
                <w:szCs w:val="22"/>
              </w:rPr>
            </w:pPr>
          </w:p>
        </w:tc>
        <w:tc>
          <w:tcPr>
            <w:tcW w:w="1751" w:type="dxa"/>
            <w:tcBorders>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64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r w:rsidRPr="00DD5ABD">
              <w:rPr>
                <w:rFonts w:ascii="Calibri" w:eastAsia="Arial" w:hAnsi="Calibri" w:cs="Calibri"/>
                <w:color w:val="000000"/>
                <w:sz w:val="22"/>
                <w:szCs w:val="22"/>
              </w:rPr>
              <w:t>Base de Bica Corrida</w:t>
            </w:r>
          </w:p>
        </w:tc>
        <w:tc>
          <w:tcPr>
            <w:tcW w:w="940" w:type="dxa"/>
            <w:vMerge w:val="restart"/>
            <w:tcBorders>
              <w:top w:val="single" w:sz="4" w:space="0" w:color="auto"/>
              <w:left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roofErr w:type="gramStart"/>
            <w:r w:rsidRPr="00DD5ABD">
              <w:rPr>
                <w:rFonts w:ascii="Arial" w:eastAsia="Times New Roman" w:hAnsi="Arial" w:cs="Arial"/>
                <w:color w:val="000000"/>
                <w:sz w:val="22"/>
                <w:szCs w:val="22"/>
              </w:rPr>
              <w:t>m³</w:t>
            </w:r>
            <w:proofErr w:type="gramEnd"/>
          </w:p>
        </w:tc>
        <w:tc>
          <w:tcPr>
            <w:tcW w:w="1911" w:type="dxa"/>
            <w:gridSpan w:val="2"/>
            <w:vMerge w:val="restart"/>
            <w:tcBorders>
              <w:top w:val="single" w:sz="4" w:space="0" w:color="auto"/>
              <w:left w:val="nil"/>
              <w:right w:val="single" w:sz="8"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488</w:t>
            </w:r>
          </w:p>
        </w:tc>
      </w:tr>
      <w:tr w:rsidR="00DD5ABD" w:rsidRPr="00DD5ABD" w:rsidTr="003A0BFA">
        <w:trPr>
          <w:trHeight w:val="255"/>
        </w:trPr>
        <w:tc>
          <w:tcPr>
            <w:tcW w:w="2219" w:type="dxa"/>
            <w:gridSpan w:val="2"/>
            <w:tcBorders>
              <w:left w:val="single" w:sz="4" w:space="0" w:color="auto"/>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p>
        </w:tc>
        <w:tc>
          <w:tcPr>
            <w:tcW w:w="43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D5ABD" w:rsidRPr="00DD5ABD" w:rsidRDefault="00DD5ABD" w:rsidP="00DD5ABD">
            <w:pPr>
              <w:rPr>
                <w:rFonts w:ascii="Calibri" w:eastAsia="Arial" w:hAnsi="Calibri" w:cs="Calibri"/>
                <w:color w:val="000000"/>
                <w:sz w:val="22"/>
                <w:szCs w:val="22"/>
              </w:rPr>
            </w:pPr>
            <w:r w:rsidRPr="00DD5ABD">
              <w:rPr>
                <w:rFonts w:ascii="Calibri" w:eastAsia="Arial" w:hAnsi="Calibri" w:cs="Calibri"/>
                <w:color w:val="000000"/>
                <w:sz w:val="22"/>
                <w:szCs w:val="22"/>
              </w:rPr>
              <w:t xml:space="preserve">   Observação: Relevância Técnica e de Valor</w:t>
            </w:r>
          </w:p>
        </w:tc>
        <w:tc>
          <w:tcPr>
            <w:tcW w:w="940" w:type="dxa"/>
            <w:vMerge/>
            <w:tcBorders>
              <w:left w:val="single" w:sz="4" w:space="0" w:color="auto"/>
              <w:bottom w:val="single" w:sz="8"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8" w:space="0" w:color="auto"/>
              <w:right w:val="single" w:sz="8"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58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Arial" w:hAnsi="Calibri" w:cs="Calibri"/>
                <w:color w:val="000000"/>
                <w:sz w:val="22"/>
                <w:szCs w:val="22"/>
              </w:rPr>
              <w:t xml:space="preserve">BASE BETUMINOSA DE MATERIAIS PROVENIENTES DOS RESÍDUOS SÓLIDOS DA CONSTRUÇÃO CIVIL (RCC) E/OU DA FRESAGEM DE PAVIMENTOS ASFÁLTICOS (RAP) RECICLADO EM USINA MÓVEL COM ATÉ 3% DE CAP, FORNECIMENTO E APLICAÇÃO, NÃO INCLUI TRANSPORTE ATÉ O LOCAL DOS </w:t>
            </w:r>
            <w:proofErr w:type="gramStart"/>
            <w:r w:rsidRPr="00DD5ABD">
              <w:rPr>
                <w:rFonts w:ascii="Calibri" w:eastAsia="Arial" w:hAnsi="Calibri" w:cs="Calibri"/>
                <w:color w:val="000000"/>
                <w:sz w:val="22"/>
                <w:szCs w:val="22"/>
              </w:rPr>
              <w:t>SERVIÇOS</w:t>
            </w:r>
            <w:proofErr w:type="gramEnd"/>
          </w:p>
        </w:tc>
        <w:tc>
          <w:tcPr>
            <w:tcW w:w="940" w:type="dxa"/>
            <w:vMerge w:val="restart"/>
            <w:tcBorders>
              <w:top w:val="nil"/>
              <w:left w:val="single" w:sz="4" w:space="0" w:color="auto"/>
              <w:right w:val="single" w:sz="8" w:space="0" w:color="auto"/>
            </w:tcBorders>
            <w:shd w:val="clear" w:color="auto" w:fill="auto"/>
            <w:vAlign w:val="center"/>
            <w:hideMark/>
          </w:tcPr>
          <w:p w:rsidR="00DD5ABD" w:rsidRPr="00DD5ABD" w:rsidRDefault="00DD5ABD" w:rsidP="00DD5ABD">
            <w:pPr>
              <w:spacing w:line="276" w:lineRule="auto"/>
              <w:jc w:val="center"/>
              <w:rPr>
                <w:rFonts w:ascii="Calibri" w:eastAsia="Arial" w:hAnsi="Calibri" w:cs="Calibri"/>
                <w:color w:val="000000"/>
                <w:sz w:val="22"/>
                <w:szCs w:val="22"/>
              </w:rPr>
            </w:pPr>
            <w:proofErr w:type="gramStart"/>
            <w:r w:rsidRPr="00DD5ABD">
              <w:rPr>
                <w:rFonts w:ascii="Calibri" w:eastAsia="Arial" w:hAnsi="Calibri" w:cs="Calibri"/>
                <w:color w:val="000000"/>
                <w:sz w:val="22"/>
                <w:szCs w:val="22"/>
              </w:rPr>
              <w:t>m³</w:t>
            </w:r>
            <w:proofErr w:type="gramEnd"/>
          </w:p>
          <w:p w:rsidR="00DD5ABD" w:rsidRPr="00DD5ABD" w:rsidRDefault="00DD5ABD" w:rsidP="00DD5ABD">
            <w:pPr>
              <w:jc w:val="center"/>
              <w:rPr>
                <w:rFonts w:ascii="Arial" w:eastAsia="Times New Roman" w:hAnsi="Arial" w:cs="Arial"/>
                <w:color w:val="000000"/>
                <w:sz w:val="22"/>
                <w:szCs w:val="22"/>
              </w:rPr>
            </w:pPr>
          </w:p>
        </w:tc>
        <w:tc>
          <w:tcPr>
            <w:tcW w:w="1911" w:type="dxa"/>
            <w:gridSpan w:val="2"/>
            <w:vMerge w:val="restart"/>
            <w:tcBorders>
              <w:top w:val="nil"/>
              <w:left w:val="nil"/>
              <w:right w:val="single" w:sz="8"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293</w:t>
            </w:r>
          </w:p>
        </w:tc>
      </w:tr>
      <w:tr w:rsidR="00DD5ABD" w:rsidRPr="00DD5ABD" w:rsidTr="003A0BFA">
        <w:trPr>
          <w:trHeight w:val="330"/>
        </w:trPr>
        <w:tc>
          <w:tcPr>
            <w:tcW w:w="2249" w:type="dxa"/>
            <w:gridSpan w:val="3"/>
            <w:tcBorders>
              <w:left w:val="single" w:sz="4" w:space="0" w:color="auto"/>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c>
          <w:tcPr>
            <w:tcW w:w="4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Times New Roman" w:hAnsi="Calibri" w:cs="Calibri"/>
                <w:color w:val="000000"/>
                <w:sz w:val="22"/>
                <w:szCs w:val="22"/>
              </w:rPr>
              <w:t>Observação: Relevância Técnica e de Valor</w:t>
            </w:r>
          </w:p>
        </w:tc>
        <w:tc>
          <w:tcPr>
            <w:tcW w:w="940" w:type="dxa"/>
            <w:vMerge/>
            <w:tcBorders>
              <w:left w:val="single" w:sz="4" w:space="0" w:color="auto"/>
              <w:bottom w:val="single" w:sz="8"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8" w:space="0" w:color="auto"/>
              <w:right w:val="single" w:sz="8"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61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spacing w:line="276" w:lineRule="auto"/>
              <w:jc w:val="center"/>
              <w:rPr>
                <w:rFonts w:ascii="Calibri" w:eastAsia="Arial" w:hAnsi="Calibri" w:cs="Calibri"/>
                <w:color w:val="000000"/>
                <w:sz w:val="22"/>
                <w:szCs w:val="22"/>
              </w:rPr>
            </w:pPr>
            <w:r w:rsidRPr="00DD5ABD">
              <w:rPr>
                <w:rFonts w:ascii="Calibri" w:eastAsia="Arial" w:hAnsi="Calibri" w:cs="Calibri"/>
                <w:color w:val="000000"/>
                <w:sz w:val="22"/>
                <w:szCs w:val="22"/>
              </w:rPr>
              <w:t xml:space="preserve">  </w:t>
            </w:r>
          </w:p>
          <w:p w:rsidR="00DD5ABD" w:rsidRPr="00DD5ABD" w:rsidRDefault="00DD5ABD" w:rsidP="00DD5ABD">
            <w:pPr>
              <w:jc w:val="center"/>
              <w:rPr>
                <w:rFonts w:ascii="Calibri" w:eastAsia="Times New Roman" w:hAnsi="Calibri" w:cs="Calibri"/>
                <w:color w:val="000000"/>
                <w:sz w:val="22"/>
                <w:szCs w:val="22"/>
              </w:rPr>
            </w:pPr>
            <w:r w:rsidRPr="00DD5ABD">
              <w:rPr>
                <w:rFonts w:ascii="Calibri" w:eastAsia="Arial" w:hAnsi="Calibri" w:cs="Calibri"/>
                <w:color w:val="000000"/>
                <w:sz w:val="22"/>
                <w:szCs w:val="22"/>
              </w:rPr>
              <w:t>BASE DE BINDER ABERTO (SEM TRANSPORTE)</w:t>
            </w:r>
          </w:p>
        </w:tc>
        <w:tc>
          <w:tcPr>
            <w:tcW w:w="940" w:type="dxa"/>
            <w:vMerge w:val="restart"/>
            <w:tcBorders>
              <w:top w:val="nil"/>
              <w:left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roofErr w:type="gramStart"/>
            <w:r w:rsidRPr="00DD5ABD">
              <w:rPr>
                <w:rFonts w:ascii="Arial" w:eastAsia="Arial" w:hAnsi="Arial" w:cs="Arial"/>
                <w:sz w:val="20"/>
                <w:szCs w:val="20"/>
              </w:rPr>
              <w:t>m³</w:t>
            </w:r>
            <w:proofErr w:type="gramEnd"/>
          </w:p>
        </w:tc>
        <w:tc>
          <w:tcPr>
            <w:tcW w:w="1911" w:type="dxa"/>
            <w:gridSpan w:val="2"/>
            <w:vMerge w:val="restart"/>
            <w:tcBorders>
              <w:top w:val="nil"/>
              <w:left w:val="nil"/>
              <w:right w:val="single" w:sz="4"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146</w:t>
            </w:r>
          </w:p>
        </w:tc>
      </w:tr>
      <w:tr w:rsidR="00DD5ABD" w:rsidRPr="00DD5ABD" w:rsidTr="003A0BFA">
        <w:trPr>
          <w:trHeight w:val="300"/>
        </w:trPr>
        <w:tc>
          <w:tcPr>
            <w:tcW w:w="2219" w:type="dxa"/>
            <w:gridSpan w:val="2"/>
            <w:tcBorders>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c>
          <w:tcPr>
            <w:tcW w:w="4300" w:type="dxa"/>
            <w:gridSpan w:val="3"/>
            <w:tcBorders>
              <w:top w:val="single" w:sz="4" w:space="0" w:color="auto"/>
              <w:left w:val="single" w:sz="4" w:space="0" w:color="auto"/>
              <w:right w:val="single" w:sz="4" w:space="0" w:color="auto"/>
            </w:tcBorders>
            <w:shd w:val="clear" w:color="auto" w:fill="auto"/>
            <w:vAlign w:val="center"/>
          </w:tcPr>
          <w:p w:rsidR="00DD5ABD" w:rsidRPr="00DD5ABD" w:rsidRDefault="00DD5ABD" w:rsidP="00DD5ABD">
            <w:pPr>
              <w:rPr>
                <w:rFonts w:ascii="Calibri" w:eastAsia="Times New Roman" w:hAnsi="Calibri" w:cs="Calibri"/>
                <w:color w:val="000000"/>
                <w:sz w:val="22"/>
                <w:szCs w:val="22"/>
              </w:rPr>
            </w:pPr>
            <w:r w:rsidRPr="00DD5ABD">
              <w:rPr>
                <w:rFonts w:ascii="Calibri" w:eastAsia="Times New Roman" w:hAnsi="Calibri" w:cs="Calibri"/>
                <w:color w:val="000000"/>
                <w:sz w:val="22"/>
                <w:szCs w:val="22"/>
              </w:rPr>
              <w:t xml:space="preserve">   Observação: Relevância Técnica</w:t>
            </w:r>
            <w:proofErr w:type="gramStart"/>
            <w:r w:rsidRPr="00DD5ABD">
              <w:rPr>
                <w:rFonts w:ascii="Calibri" w:eastAsia="Times New Roman" w:hAnsi="Calibri" w:cs="Calibri"/>
                <w:color w:val="000000"/>
                <w:sz w:val="22"/>
                <w:szCs w:val="22"/>
              </w:rPr>
              <w:t xml:space="preserve">  </w:t>
            </w:r>
            <w:proofErr w:type="gramEnd"/>
            <w:r w:rsidRPr="00DD5ABD">
              <w:rPr>
                <w:rFonts w:ascii="Calibri" w:eastAsia="Times New Roman" w:hAnsi="Calibri" w:cs="Calibri"/>
                <w:color w:val="000000"/>
                <w:sz w:val="22"/>
                <w:szCs w:val="22"/>
              </w:rPr>
              <w:t>e de Valor</w:t>
            </w:r>
          </w:p>
        </w:tc>
        <w:tc>
          <w:tcPr>
            <w:tcW w:w="940" w:type="dxa"/>
            <w:vMerge/>
            <w:tcBorders>
              <w:left w:val="single" w:sz="4" w:space="0" w:color="auto"/>
              <w:bottom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40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r w:rsidRPr="00DD5ABD">
              <w:rPr>
                <w:rFonts w:ascii="Calibri" w:eastAsia="Arial" w:hAnsi="Calibri" w:cs="Calibri"/>
                <w:color w:val="000000"/>
                <w:sz w:val="22"/>
                <w:szCs w:val="22"/>
              </w:rPr>
              <w:t>REVESTIMENTO DE CONCRETO ASFÁLTICO (SEM TRANSPORTE)</w:t>
            </w:r>
          </w:p>
        </w:tc>
        <w:tc>
          <w:tcPr>
            <w:tcW w:w="940" w:type="dxa"/>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proofErr w:type="gramStart"/>
            <w:r w:rsidRPr="00DD5ABD">
              <w:rPr>
                <w:rFonts w:ascii="Calibri" w:eastAsia="Arial" w:hAnsi="Calibri" w:cs="Calibri"/>
                <w:color w:val="000000"/>
                <w:sz w:val="22"/>
                <w:szCs w:val="22"/>
              </w:rPr>
              <w:t>m³</w:t>
            </w:r>
            <w:proofErr w:type="gramEnd"/>
          </w:p>
        </w:tc>
        <w:tc>
          <w:tcPr>
            <w:tcW w:w="1911" w:type="dxa"/>
            <w:gridSpan w:val="2"/>
            <w:tcBorders>
              <w:top w:val="single" w:sz="4" w:space="0" w:color="auto"/>
              <w:left w:val="single" w:sz="4" w:space="0" w:color="auto"/>
              <w:right w:val="single" w:sz="4"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78</w:t>
            </w:r>
          </w:p>
        </w:tc>
      </w:tr>
      <w:tr w:rsidR="00DD5ABD" w:rsidRPr="00DD5ABD" w:rsidTr="003A0BFA">
        <w:trPr>
          <w:trHeight w:val="225"/>
        </w:trPr>
        <w:tc>
          <w:tcPr>
            <w:tcW w:w="2203" w:type="dxa"/>
            <w:tcBorders>
              <w:left w:val="single" w:sz="4" w:space="0" w:color="auto"/>
              <w:bottom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p>
        </w:tc>
        <w:tc>
          <w:tcPr>
            <w:tcW w:w="160" w:type="dxa"/>
            <w:gridSpan w:val="3"/>
            <w:tcBorders>
              <w:top w:val="single" w:sz="4" w:space="0" w:color="auto"/>
              <w:left w:val="single" w:sz="4" w:space="0" w:color="auto"/>
              <w:bottom w:val="single" w:sz="4" w:space="0" w:color="auto"/>
            </w:tcBorders>
            <w:shd w:val="clear" w:color="auto" w:fill="auto"/>
            <w:vAlign w:val="center"/>
          </w:tcPr>
          <w:p w:rsidR="00DD5ABD" w:rsidRPr="00DD5ABD" w:rsidRDefault="00DD5ABD" w:rsidP="00DD5ABD">
            <w:pPr>
              <w:jc w:val="center"/>
              <w:rPr>
                <w:rFonts w:ascii="Calibri" w:eastAsia="Arial" w:hAnsi="Calibri" w:cs="Calibri"/>
                <w:color w:val="000000"/>
                <w:sz w:val="22"/>
                <w:szCs w:val="22"/>
              </w:rPr>
            </w:pPr>
          </w:p>
        </w:tc>
        <w:tc>
          <w:tcPr>
            <w:tcW w:w="4156" w:type="dxa"/>
            <w:tcBorders>
              <w:top w:val="single" w:sz="4" w:space="0" w:color="auto"/>
              <w:left w:val="nil"/>
              <w:bottom w:val="single" w:sz="4" w:space="0" w:color="auto"/>
              <w:right w:val="single" w:sz="4" w:space="0" w:color="auto"/>
            </w:tcBorders>
            <w:shd w:val="clear" w:color="auto" w:fill="auto"/>
            <w:vAlign w:val="center"/>
          </w:tcPr>
          <w:p w:rsidR="00DD5ABD" w:rsidRPr="00DD5ABD" w:rsidRDefault="00DD5ABD" w:rsidP="00DD5ABD">
            <w:pPr>
              <w:ind w:left="80"/>
              <w:jc w:val="center"/>
              <w:rPr>
                <w:rFonts w:ascii="Calibri" w:eastAsia="Arial" w:hAnsi="Calibri" w:cs="Calibri"/>
                <w:color w:val="000000"/>
                <w:sz w:val="22"/>
                <w:szCs w:val="22"/>
              </w:rPr>
            </w:pPr>
            <w:r w:rsidRPr="00DD5ABD">
              <w:rPr>
                <w:rFonts w:ascii="Calibri" w:eastAsia="Times New Roman" w:hAnsi="Calibri" w:cs="Calibri"/>
                <w:color w:val="000000"/>
                <w:sz w:val="22"/>
                <w:szCs w:val="22"/>
              </w:rPr>
              <w:t>Observação: Relevância Técnica e de Valor</w:t>
            </w:r>
          </w:p>
        </w:tc>
        <w:tc>
          <w:tcPr>
            <w:tcW w:w="940" w:type="dxa"/>
            <w:tcBorders>
              <w:left w:val="single" w:sz="4" w:space="0" w:color="auto"/>
              <w:bottom w:val="single" w:sz="4"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60" w:type="dxa"/>
            <w:tcBorders>
              <w:left w:val="single" w:sz="4" w:space="0" w:color="auto"/>
              <w:bottom w:val="single" w:sz="4" w:space="0" w:color="auto"/>
            </w:tcBorders>
            <w:shd w:val="clear" w:color="auto" w:fill="auto"/>
            <w:vAlign w:val="center"/>
          </w:tcPr>
          <w:p w:rsidR="00DD5ABD" w:rsidRPr="00DD5ABD" w:rsidRDefault="00DD5ABD" w:rsidP="00DD5ABD">
            <w:pPr>
              <w:jc w:val="center"/>
              <w:rPr>
                <w:rFonts w:ascii="Arial" w:eastAsia="Times New Roman" w:hAnsi="Arial" w:cs="Arial"/>
                <w:color w:val="000000"/>
                <w:sz w:val="22"/>
                <w:szCs w:val="22"/>
              </w:rPr>
            </w:pPr>
          </w:p>
        </w:tc>
        <w:tc>
          <w:tcPr>
            <w:tcW w:w="1751" w:type="dxa"/>
            <w:tcBorders>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B83C5B">
        <w:rPr>
          <w:rFonts w:ascii="Arial" w:eastAsia="Times New Roman" w:hAnsi="Arial" w:cs="Arial"/>
          <w:lang w:eastAsia="ar-SA"/>
        </w:rPr>
        <w:t>Projetos Especiais, Convênios e Habitação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W w:w="8803" w:type="dxa"/>
        <w:tblInd w:w="56" w:type="dxa"/>
        <w:tblCellMar>
          <w:left w:w="70" w:type="dxa"/>
          <w:right w:w="70" w:type="dxa"/>
        </w:tblCellMar>
        <w:tblLook w:val="04A0" w:firstRow="1" w:lastRow="0" w:firstColumn="1" w:lastColumn="0" w:noHBand="0" w:noVBand="1"/>
      </w:tblPr>
      <w:tblGrid>
        <w:gridCol w:w="8803"/>
      </w:tblGrid>
      <w:tr w:rsidR="001F62A8" w:rsidRPr="00996B5A" w:rsidTr="001F62A8">
        <w:trPr>
          <w:trHeight w:val="315"/>
        </w:trPr>
        <w:tc>
          <w:tcPr>
            <w:tcW w:w="8803" w:type="dxa"/>
            <w:tcBorders>
              <w:top w:val="single" w:sz="4" w:space="0" w:color="auto"/>
              <w:left w:val="single" w:sz="8" w:space="0" w:color="auto"/>
              <w:bottom w:val="single" w:sz="4" w:space="0" w:color="auto"/>
              <w:right w:val="single" w:sz="8" w:space="0" w:color="auto"/>
            </w:tcBorders>
            <w:shd w:val="clear" w:color="000000" w:fill="FFFFFF"/>
            <w:vAlign w:val="bottom"/>
            <w:hideMark/>
          </w:tcPr>
          <w:p w:rsidR="001F62A8" w:rsidRPr="00996B5A" w:rsidRDefault="001F62A8" w:rsidP="00996B5A">
            <w:pPr>
              <w:jc w:val="center"/>
              <w:rPr>
                <w:rFonts w:ascii="Arial" w:eastAsia="Times New Roman" w:hAnsi="Arial" w:cs="Arial"/>
                <w:b/>
                <w:bCs/>
                <w:color w:val="000000"/>
                <w:sz w:val="22"/>
                <w:szCs w:val="22"/>
              </w:rPr>
            </w:pPr>
            <w:r w:rsidRPr="00996B5A">
              <w:rPr>
                <w:rFonts w:ascii="Arial" w:eastAsia="Times New Roman" w:hAnsi="Arial" w:cs="Arial"/>
                <w:b/>
                <w:bCs/>
                <w:color w:val="000000"/>
                <w:sz w:val="22"/>
                <w:szCs w:val="22"/>
              </w:rPr>
              <w:t>DESCRIÇÃO DOS SERVIÇOS</w:t>
            </w:r>
          </w:p>
        </w:tc>
      </w:tr>
      <w:tr w:rsidR="001F62A8" w:rsidRPr="00996B5A" w:rsidTr="001F62A8">
        <w:trPr>
          <w:trHeight w:val="585"/>
        </w:trPr>
        <w:tc>
          <w:tcPr>
            <w:tcW w:w="8803" w:type="dxa"/>
            <w:tcBorders>
              <w:top w:val="single" w:sz="4" w:space="0" w:color="auto"/>
              <w:left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Times New Roman" w:hAnsi="Calibri" w:cs="Calibri"/>
                <w:color w:val="000000"/>
                <w:sz w:val="22"/>
                <w:szCs w:val="22"/>
              </w:rPr>
            </w:pPr>
            <w:r w:rsidRPr="00996B5A">
              <w:rPr>
                <w:rFonts w:ascii="Calibri" w:eastAsia="Times New Roman" w:hAnsi="Calibri" w:cs="Calibri"/>
                <w:color w:val="000000"/>
                <w:sz w:val="22"/>
                <w:szCs w:val="22"/>
              </w:rPr>
              <w:t xml:space="preserve"> </w:t>
            </w:r>
            <w:proofErr w:type="gramStart"/>
            <w:r w:rsidRPr="00996B5A">
              <w:rPr>
                <w:rFonts w:ascii="Calibri" w:eastAsia="Arial" w:hAnsi="Calibri" w:cs="Calibri"/>
                <w:color w:val="000000"/>
                <w:sz w:val="22"/>
                <w:szCs w:val="22"/>
              </w:rPr>
              <w:t>Fv.</w:t>
            </w:r>
            <w:proofErr w:type="gramEnd"/>
            <w:r w:rsidRPr="00996B5A">
              <w:rPr>
                <w:rFonts w:ascii="Calibri" w:eastAsia="Arial" w:hAnsi="Calibri" w:cs="Calibri"/>
                <w:color w:val="000000"/>
                <w:sz w:val="22"/>
                <w:szCs w:val="22"/>
              </w:rPr>
              <w:t>15/16 - muro de fecho em blocos e estrutura de concreto, fundação com brocas</w:t>
            </w:r>
          </w:p>
        </w:tc>
      </w:tr>
      <w:tr w:rsidR="001F62A8" w:rsidRPr="00996B5A" w:rsidTr="001F62A8">
        <w:trPr>
          <w:trHeight w:val="615"/>
        </w:trPr>
        <w:tc>
          <w:tcPr>
            <w:tcW w:w="8803" w:type="dxa"/>
            <w:tcBorders>
              <w:top w:val="single" w:sz="4" w:space="0" w:color="auto"/>
              <w:left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Times New Roman" w:hAnsi="Calibri" w:cs="Calibri"/>
                <w:color w:val="000000"/>
                <w:sz w:val="22"/>
                <w:szCs w:val="22"/>
              </w:rPr>
            </w:pPr>
            <w:r w:rsidRPr="00996B5A">
              <w:rPr>
                <w:rFonts w:ascii="Calibri" w:eastAsia="Arial" w:hAnsi="Calibri" w:cs="Calibri"/>
                <w:color w:val="000000"/>
                <w:sz w:val="22"/>
                <w:szCs w:val="22"/>
              </w:rPr>
              <w:t xml:space="preserve">TRANSPORTE DE TERRA POR CAMINHÃO BASCULANTE, A PARTIR DE </w:t>
            </w:r>
            <w:proofErr w:type="gramStart"/>
            <w:r w:rsidRPr="00996B5A">
              <w:rPr>
                <w:rFonts w:ascii="Calibri" w:eastAsia="Arial" w:hAnsi="Calibri" w:cs="Calibri"/>
                <w:color w:val="000000"/>
                <w:sz w:val="22"/>
                <w:szCs w:val="22"/>
              </w:rPr>
              <w:t>1KM</w:t>
            </w:r>
            <w:proofErr w:type="gramEnd"/>
          </w:p>
        </w:tc>
      </w:tr>
      <w:tr w:rsidR="001F62A8" w:rsidRPr="00996B5A" w:rsidTr="001F62A8">
        <w:trPr>
          <w:trHeight w:val="405"/>
        </w:trPr>
        <w:tc>
          <w:tcPr>
            <w:tcW w:w="8803" w:type="dxa"/>
            <w:tcBorders>
              <w:top w:val="single" w:sz="4" w:space="0" w:color="auto"/>
              <w:left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Arial" w:hAnsi="Calibri" w:cs="Calibri"/>
                <w:color w:val="000000"/>
                <w:sz w:val="22"/>
                <w:szCs w:val="22"/>
              </w:rPr>
            </w:pPr>
            <w:r w:rsidRPr="00996B5A">
              <w:rPr>
                <w:rFonts w:ascii="Calibri" w:eastAsia="Arial" w:hAnsi="Calibri" w:cs="Calibri"/>
                <w:color w:val="000000"/>
                <w:sz w:val="22"/>
                <w:szCs w:val="22"/>
              </w:rPr>
              <w:t>Fundação de Rachão</w:t>
            </w:r>
          </w:p>
        </w:tc>
      </w:tr>
      <w:tr w:rsidR="001F62A8" w:rsidRPr="00996B5A" w:rsidTr="001F62A8">
        <w:trPr>
          <w:trHeight w:val="645"/>
        </w:trPr>
        <w:tc>
          <w:tcPr>
            <w:tcW w:w="8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Arial" w:hAnsi="Calibri" w:cs="Calibri"/>
                <w:color w:val="000000"/>
                <w:sz w:val="22"/>
                <w:szCs w:val="22"/>
              </w:rPr>
            </w:pPr>
            <w:r w:rsidRPr="00996B5A">
              <w:rPr>
                <w:rFonts w:ascii="Calibri" w:eastAsia="Arial" w:hAnsi="Calibri" w:cs="Calibri"/>
                <w:color w:val="000000"/>
                <w:sz w:val="22"/>
                <w:szCs w:val="22"/>
              </w:rPr>
              <w:t>Base de Bica Corrida</w:t>
            </w:r>
          </w:p>
        </w:tc>
      </w:tr>
      <w:tr w:rsidR="001F62A8" w:rsidRPr="00996B5A" w:rsidTr="001F62A8">
        <w:trPr>
          <w:trHeight w:val="1046"/>
        </w:trPr>
        <w:tc>
          <w:tcPr>
            <w:tcW w:w="8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Times New Roman" w:hAnsi="Calibri" w:cs="Calibri"/>
                <w:color w:val="000000"/>
                <w:sz w:val="22"/>
                <w:szCs w:val="22"/>
              </w:rPr>
            </w:pPr>
            <w:r w:rsidRPr="00996B5A">
              <w:rPr>
                <w:rFonts w:ascii="Calibri" w:eastAsia="Arial" w:hAnsi="Calibri" w:cs="Calibri"/>
                <w:color w:val="000000"/>
                <w:sz w:val="22"/>
                <w:szCs w:val="22"/>
              </w:rPr>
              <w:t xml:space="preserve">BASE BETUMINOSA DE MATERIAIS PROVENIENTES DOS RESÍDUOS SÓLIDOS DA CONSTRUÇÃO CIVIL (RCC) E/OU DA FRESAGEM DE PAVIMENTOS ASFÁLTICOS (RAP) RECICLADO EM USINA MÓVEL COM ATÉ 3% DE CAP, FORNECIMENTO E APLICAÇÃO, NÃO INCLUI TRANSPORTE ATÉ O LOCAL DOS </w:t>
            </w:r>
            <w:proofErr w:type="gramStart"/>
            <w:r w:rsidRPr="00996B5A">
              <w:rPr>
                <w:rFonts w:ascii="Calibri" w:eastAsia="Arial" w:hAnsi="Calibri" w:cs="Calibri"/>
                <w:color w:val="000000"/>
                <w:sz w:val="22"/>
                <w:szCs w:val="22"/>
              </w:rPr>
              <w:t>SERVIÇOS</w:t>
            </w:r>
            <w:proofErr w:type="gramEnd"/>
          </w:p>
        </w:tc>
      </w:tr>
      <w:tr w:rsidR="001F62A8" w:rsidRPr="00996B5A" w:rsidTr="001F62A8">
        <w:trPr>
          <w:trHeight w:val="615"/>
        </w:trPr>
        <w:tc>
          <w:tcPr>
            <w:tcW w:w="8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2A8" w:rsidRPr="00996B5A" w:rsidRDefault="001F62A8" w:rsidP="00996B5A">
            <w:pPr>
              <w:spacing w:line="276" w:lineRule="auto"/>
              <w:jc w:val="center"/>
              <w:rPr>
                <w:rFonts w:ascii="Calibri" w:eastAsia="Arial" w:hAnsi="Calibri" w:cs="Calibri"/>
                <w:color w:val="000000"/>
                <w:sz w:val="22"/>
                <w:szCs w:val="22"/>
              </w:rPr>
            </w:pPr>
            <w:r w:rsidRPr="00996B5A">
              <w:rPr>
                <w:rFonts w:ascii="Calibri" w:eastAsia="Arial" w:hAnsi="Calibri" w:cs="Calibri"/>
                <w:color w:val="000000"/>
                <w:sz w:val="22"/>
                <w:szCs w:val="22"/>
              </w:rPr>
              <w:t xml:space="preserve"> </w:t>
            </w:r>
          </w:p>
          <w:p w:rsidR="001F62A8" w:rsidRPr="00996B5A" w:rsidRDefault="001F62A8" w:rsidP="00996B5A">
            <w:pPr>
              <w:jc w:val="center"/>
              <w:rPr>
                <w:rFonts w:ascii="Calibri" w:eastAsia="Times New Roman" w:hAnsi="Calibri" w:cs="Calibri"/>
                <w:color w:val="000000"/>
                <w:sz w:val="22"/>
                <w:szCs w:val="22"/>
              </w:rPr>
            </w:pPr>
            <w:r w:rsidRPr="00996B5A">
              <w:rPr>
                <w:rFonts w:ascii="Calibri" w:eastAsia="Arial" w:hAnsi="Calibri" w:cs="Calibri"/>
                <w:color w:val="000000"/>
                <w:sz w:val="22"/>
                <w:szCs w:val="22"/>
              </w:rPr>
              <w:t>BASE DE BINDER ABERTO (SEM TRANSPORTE)</w:t>
            </w:r>
          </w:p>
        </w:tc>
      </w:tr>
      <w:tr w:rsidR="001F62A8" w:rsidRPr="00996B5A" w:rsidTr="001F62A8">
        <w:trPr>
          <w:trHeight w:val="405"/>
        </w:trPr>
        <w:tc>
          <w:tcPr>
            <w:tcW w:w="8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Arial" w:hAnsi="Calibri" w:cs="Calibri"/>
                <w:color w:val="000000"/>
                <w:sz w:val="22"/>
                <w:szCs w:val="22"/>
              </w:rPr>
            </w:pPr>
            <w:r w:rsidRPr="00996B5A">
              <w:rPr>
                <w:rFonts w:ascii="Calibri" w:eastAsia="Arial" w:hAnsi="Calibri" w:cs="Calibri"/>
                <w:color w:val="000000"/>
                <w:sz w:val="22"/>
                <w:szCs w:val="22"/>
              </w:rPr>
              <w:t>REVESTIMENTO DE CONCRETO ASFÁLTICO (SEM TRANSPORTE)</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lastRenderedPageBreak/>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lastRenderedPageBreak/>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w:t>
      </w:r>
      <w:r w:rsidRPr="0023216F">
        <w:rPr>
          <w:rFonts w:ascii="Arial" w:hAnsi="Arial" w:cs="Arial"/>
        </w:rPr>
        <w:lastRenderedPageBreak/>
        <w:t xml:space="preserve">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lastRenderedPageBreak/>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r w:rsidR="001D286E"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w:t>
      </w:r>
      <w:r w:rsidRPr="0023216F">
        <w:rPr>
          <w:rFonts w:ascii="Arial" w:hAnsi="Arial" w:cs="Arial"/>
        </w:rPr>
        <w:lastRenderedPageBreak/>
        <w:t xml:space="preserve">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w:t>
      </w:r>
      <w:r w:rsidR="000F448D">
        <w:rPr>
          <w:rFonts w:ascii="Arial" w:eastAsia="Times New Roman" w:hAnsi="Arial" w:cs="Arial"/>
          <w:lang w:eastAsia="ar-SA"/>
        </w:rPr>
        <w:t xml:space="preserve">e Diário Oficial </w:t>
      </w:r>
      <w:r w:rsidR="00765A5B">
        <w:rPr>
          <w:rFonts w:ascii="Arial" w:eastAsia="Times New Roman" w:hAnsi="Arial" w:cs="Arial"/>
          <w:lang w:eastAsia="ar-SA"/>
        </w:rPr>
        <w:t>deste município</w:t>
      </w:r>
      <w:r w:rsidRPr="007A77B9">
        <w:rPr>
          <w:rFonts w:ascii="Arial" w:eastAsia="Times New Roman" w:hAnsi="Arial" w:cs="Arial"/>
          <w:lang w:eastAsia="ar-SA"/>
        </w:rPr>
        <w:t xml:space="preserve">, </w:t>
      </w:r>
      <w:r>
        <w:rPr>
          <w:rFonts w:ascii="Arial" w:eastAsia="Times New Roman" w:hAnsi="Arial" w:cs="Arial"/>
          <w:lang w:eastAsia="ar-SA"/>
        </w:rPr>
        <w:t>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w:t>
      </w:r>
      <w:r w:rsidR="008375FE">
        <w:rPr>
          <w:rFonts w:ascii="Arial" w:hAnsi="Arial" w:cs="Arial"/>
          <w:lang w:eastAsia="ar-SA"/>
        </w:rPr>
        <w:t xml:space="preserve">no Diário Oficial do Estado e em jornal de grande circulação </w:t>
      </w:r>
      <w:r w:rsidRPr="007A77B9">
        <w:rPr>
          <w:rFonts w:ascii="Arial" w:eastAsia="Times New Roman" w:hAnsi="Arial" w:cs="Arial"/>
          <w:lang w:eastAsia="ar-SA"/>
        </w:rPr>
        <w:t xml:space="preserve">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741252">
        <w:rPr>
          <w:rFonts w:ascii="Arial" w:eastAsia="Times New Roman" w:hAnsi="Arial" w:cs="Arial"/>
        </w:rPr>
        <w:t xml:space="preserve"> </w:t>
      </w:r>
      <w:proofErr w:type="gramEnd"/>
      <w:r w:rsidR="00973D06">
        <w:rPr>
          <w:rFonts w:ascii="Arial" w:eastAsia="Times New Roman" w:hAnsi="Arial" w:cs="Arial"/>
        </w:rPr>
        <w:t>11</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973D06">
        <w:rPr>
          <w:rFonts w:ascii="Arial" w:eastAsia="Times New Roman" w:hAnsi="Arial" w:cs="Arial"/>
        </w:rPr>
        <w:t>abril</w:t>
      </w:r>
      <w:r w:rsidR="00741252">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B56AD" w:rsidRDefault="004B56A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4B56AD" w:rsidRDefault="004B56AD" w:rsidP="00310BA9">
      <w:pPr>
        <w:suppressAutoHyphens/>
        <w:spacing w:after="120"/>
        <w:ind w:left="-426" w:right="-142"/>
        <w:jc w:val="center"/>
        <w:rPr>
          <w:rFonts w:ascii="Arial" w:eastAsia="Times New Roman" w:hAnsi="Arial" w:cs="Arial"/>
          <w:b/>
          <w:sz w:val="36"/>
          <w:szCs w:val="36"/>
          <w:lang w:eastAsia="ar-SA"/>
        </w:rPr>
      </w:pPr>
    </w:p>
    <w:p w:rsidR="004B56AD" w:rsidRDefault="004B56AD"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513896">
        <w:rPr>
          <w:rFonts w:ascii="Arial" w:eastAsia="Times New Roman" w:hAnsi="Arial" w:cs="Arial"/>
          <w:lang w:eastAsia="ar-SA"/>
        </w:rPr>
        <w:t xml:space="preserve"> </w:t>
      </w:r>
      <w:r w:rsidR="00341138">
        <w:rPr>
          <w:rFonts w:ascii="Arial" w:eastAsia="Times New Roman" w:hAnsi="Arial" w:cs="Arial"/>
          <w:lang w:eastAsia="ar-SA"/>
        </w:rPr>
        <w:t>11</w:t>
      </w:r>
      <w:r w:rsidRPr="00B5684B">
        <w:rPr>
          <w:rFonts w:ascii="Arial" w:eastAsia="Times New Roman" w:hAnsi="Arial" w:cs="Arial"/>
          <w:lang w:eastAsia="ar-SA"/>
        </w:rPr>
        <w:t xml:space="preserve"> /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414C65" w:rsidRPr="00414C65">
        <w:rPr>
          <w:rFonts w:ascii="Arial" w:eastAsia="Times New Roman" w:hAnsi="Arial" w:cs="Arial"/>
          <w:bCs/>
          <w:lang w:eastAsia="ar-SA"/>
        </w:rPr>
        <w:t>6310</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872903" w:rsidRPr="00872903">
        <w:rPr>
          <w:rFonts w:ascii="Arial" w:hAnsi="Arial" w:cs="Arial"/>
          <w:bCs/>
        </w:rPr>
        <w:t>Contratação de empresa para implantação do viário Pirarucu - Interligação de Carapicuíba e Barueri.</w:t>
      </w:r>
    </w:p>
    <w:p w:rsidR="00872903" w:rsidRDefault="00872903"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4B56AD">
        <w:rPr>
          <w:rFonts w:ascii="Arial" w:hAnsi="Arial" w:cs="Arial"/>
        </w:rPr>
        <w:t>36</w:t>
      </w:r>
      <w:r w:rsidR="00F36FA7">
        <w:rPr>
          <w:rFonts w:ascii="Arial" w:hAnsi="Arial" w:cs="Arial"/>
        </w:rPr>
        <w:t>0</w:t>
      </w:r>
      <w:r w:rsidR="00F36FA7" w:rsidRPr="0023216F">
        <w:rPr>
          <w:rFonts w:ascii="Arial" w:hAnsi="Arial" w:cs="Arial"/>
        </w:rPr>
        <w:t xml:space="preserve"> (</w:t>
      </w:r>
      <w:r w:rsidR="004B56AD">
        <w:rPr>
          <w:rFonts w:ascii="Arial" w:hAnsi="Arial" w:cs="Arial"/>
        </w:rPr>
        <w:t>tre</w:t>
      </w:r>
      <w:r w:rsidR="00F36FA7">
        <w:rPr>
          <w:rFonts w:ascii="Arial" w:hAnsi="Arial" w:cs="Arial"/>
        </w:rPr>
        <w:t xml:space="preserve">zentos e </w:t>
      </w:r>
      <w:r w:rsidR="004B56AD">
        <w:rPr>
          <w:rFonts w:ascii="Arial" w:hAnsi="Arial" w:cs="Arial"/>
        </w:rPr>
        <w:t>sess</w:t>
      </w:r>
      <w:r w:rsidR="00F36FA7">
        <w:rPr>
          <w:rFonts w:ascii="Arial" w:hAnsi="Arial" w:cs="Arial"/>
        </w:rPr>
        <w:t>enta</w:t>
      </w:r>
      <w:r w:rsidR="00F36FA7" w:rsidRPr="0023216F">
        <w:rPr>
          <w:rFonts w:ascii="Arial" w:hAnsi="Arial" w:cs="Arial"/>
        </w:rPr>
        <w:t>)</w:t>
      </w:r>
      <w:r w:rsidRPr="00B5684B">
        <w:rPr>
          <w:rFonts w:ascii="Arial" w:eastAsia="Times New Roman" w:hAnsi="Arial" w:cs="Arial"/>
          <w:lang w:eastAsia="ar-SA"/>
        </w:rPr>
        <w:t xml:space="preserve"> 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872903" w:rsidRDefault="00872903"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D66803" w:rsidRDefault="00D66803"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CC27C1">
        <w:rPr>
          <w:rFonts w:ascii="Arial" w:eastAsia="Times New Roman" w:hAnsi="Arial" w:cs="Arial"/>
          <w:bCs/>
          <w:lang w:eastAsia="ar-SA"/>
        </w:rPr>
        <w:t>11</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A6CF1" w:rsidRPr="00414C65">
        <w:rPr>
          <w:rFonts w:ascii="Arial" w:eastAsia="Times New Roman" w:hAnsi="Arial" w:cs="Arial"/>
          <w:bCs/>
          <w:lang w:eastAsia="ar-SA"/>
        </w:rPr>
        <w:t>6310</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8F38F0" w:rsidRDefault="008A36FE" w:rsidP="008F38F0">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8F38F0" w:rsidRPr="00872903">
        <w:rPr>
          <w:rFonts w:ascii="Arial" w:hAnsi="Arial" w:cs="Arial"/>
          <w:bCs/>
        </w:rPr>
        <w:t>Contratação de empresa para implantação do viário Pirarucu - Interligação de Carapicuíba e Barueri.</w:t>
      </w:r>
    </w:p>
    <w:p w:rsidR="008A36FE" w:rsidRDefault="008A36FE" w:rsidP="008F38F0">
      <w:pPr>
        <w:suppressAutoHyphens/>
        <w:spacing w:after="120"/>
        <w:ind w:left="-426" w:right="-142"/>
        <w:jc w:val="both"/>
        <w:rPr>
          <w:rFonts w:ascii="Arial" w:eastAsia="Times New Roman" w:hAnsi="Arial" w:cs="Arial"/>
          <w:bCs/>
          <w:lang w:eastAsia="ar-SA"/>
        </w:rPr>
      </w:pPr>
    </w:p>
    <w:p w:rsidR="008F38F0" w:rsidRPr="00B5684B" w:rsidRDefault="008F38F0" w:rsidP="008F38F0">
      <w:pPr>
        <w:suppressAutoHyphens/>
        <w:spacing w:after="120"/>
        <w:ind w:left="-426" w:right="-142"/>
        <w:jc w:val="both"/>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E152D9">
        <w:rPr>
          <w:rFonts w:ascii="Arial" w:eastAsia="Times New Roman" w:hAnsi="Arial" w:cs="Arial"/>
          <w:lang w:eastAsia="ar-SA"/>
        </w:rPr>
        <w:t>11</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A6CF1" w:rsidRPr="00414C65">
        <w:rPr>
          <w:rFonts w:ascii="Arial" w:eastAsia="Times New Roman" w:hAnsi="Arial" w:cs="Arial"/>
          <w:bCs/>
          <w:lang w:eastAsia="ar-SA"/>
        </w:rPr>
        <w:t>6310</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286FAC" w:rsidRDefault="00B5684B" w:rsidP="00286FAC">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286FAC" w:rsidRPr="00872903">
        <w:rPr>
          <w:rFonts w:ascii="Arial" w:hAnsi="Arial" w:cs="Arial"/>
          <w:bCs/>
        </w:rPr>
        <w:t>Contratação de empresa para implantação do viário Pirarucu - Interligação de Carapicuíba e Barueri.</w:t>
      </w:r>
    </w:p>
    <w:p w:rsidR="00544548" w:rsidRDefault="00544548"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C30FE1" w:rsidRDefault="00C30FE1"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712482">
        <w:rPr>
          <w:rFonts w:ascii="Arial" w:eastAsia="Times New Roman" w:hAnsi="Arial" w:cs="Arial"/>
          <w:lang w:eastAsia="ar-SA"/>
        </w:rPr>
        <w:t xml:space="preserve">11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A6CF1" w:rsidRPr="00414C65">
        <w:rPr>
          <w:rFonts w:ascii="Arial" w:eastAsia="Times New Roman" w:hAnsi="Arial" w:cs="Arial"/>
          <w:bCs/>
          <w:lang w:eastAsia="ar-SA"/>
        </w:rPr>
        <w:t>6310</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7E404B" w:rsidRDefault="009060F0" w:rsidP="007E404B">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7E404B" w:rsidRPr="00872903">
        <w:rPr>
          <w:rFonts w:ascii="Arial" w:hAnsi="Arial" w:cs="Arial"/>
          <w:bCs/>
        </w:rPr>
        <w:t>Contratação de empresa para implantação do viário Pirarucu - Interligação de Carapicuíba e Barueri.</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E452DB" w:rsidRDefault="00E452DB"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5518E9">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2903EF">
        <w:rPr>
          <w:rFonts w:ascii="Arial" w:eastAsia="Times New Roman" w:hAnsi="Arial" w:cs="Arial"/>
          <w:bCs/>
          <w:lang w:eastAsia="ar-SA"/>
        </w:rPr>
        <w:t>11</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AA36A4" w:rsidRPr="00414C65">
        <w:rPr>
          <w:rFonts w:ascii="Arial" w:eastAsia="Times New Roman" w:hAnsi="Arial" w:cs="Arial"/>
          <w:bCs/>
          <w:lang w:eastAsia="ar-SA"/>
        </w:rPr>
        <w:t>6310</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283222" w:rsidRDefault="00A9058E" w:rsidP="00283222">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283222" w:rsidRPr="00872903">
        <w:rPr>
          <w:rFonts w:ascii="Arial" w:hAnsi="Arial" w:cs="Arial"/>
          <w:bCs/>
        </w:rPr>
        <w:t>Contratação de empresa para implantação do viário Pirarucu - Interligação de Carapicuíba e Barueri.</w:t>
      </w:r>
    </w:p>
    <w:p w:rsidR="000F3DB8" w:rsidRPr="00A9058E" w:rsidRDefault="000F3DB8" w:rsidP="00283222">
      <w:pPr>
        <w:suppressAutoHyphens/>
        <w:spacing w:after="120"/>
        <w:ind w:right="142" w:firstLine="426"/>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DF2140" w:rsidRDefault="00DF2140" w:rsidP="00310BA9">
      <w:pPr>
        <w:suppressAutoHyphens/>
        <w:ind w:left="-426" w:right="-142"/>
        <w:jc w:val="center"/>
        <w:rPr>
          <w:rFonts w:ascii="Arial" w:eastAsia="Times New Roman" w:hAnsi="Arial" w:cs="Arial"/>
          <w:b/>
          <w:bCs/>
          <w:lang w:eastAsia="ar-SA"/>
        </w:rPr>
      </w:pPr>
    </w:p>
    <w:p w:rsidR="00E976BC" w:rsidRDefault="00E976BC" w:rsidP="00310BA9">
      <w:pPr>
        <w:suppressAutoHyphens/>
        <w:ind w:left="-426" w:right="-142"/>
        <w:jc w:val="center"/>
        <w:rPr>
          <w:rFonts w:ascii="Arial" w:eastAsia="Times New Roman" w:hAnsi="Arial" w:cs="Arial"/>
          <w:b/>
          <w:bCs/>
          <w:lang w:eastAsia="ar-SA"/>
        </w:rPr>
      </w:pPr>
    </w:p>
    <w:p w:rsidR="00E976BC" w:rsidRDefault="00E976BC"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4458E2">
        <w:rPr>
          <w:rFonts w:ascii="Arial" w:eastAsia="Times New Roman" w:hAnsi="Arial" w:cs="Arial"/>
          <w:b/>
          <w:lang w:eastAsia="ar-SA"/>
        </w:rPr>
        <w:t xml:space="preserve"> </w:t>
      </w:r>
      <w:r w:rsidR="00DA0761">
        <w:rPr>
          <w:rFonts w:ascii="Arial" w:eastAsia="Times New Roman" w:hAnsi="Arial" w:cs="Arial"/>
          <w:b/>
          <w:lang w:eastAsia="ar-SA"/>
        </w:rPr>
        <w:t>11</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0731EB" w:rsidRPr="000356E3" w:rsidRDefault="000731EB"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0B36FE">
        <w:rPr>
          <w:rFonts w:ascii="Arial" w:eastAsia="Times New Roman" w:hAnsi="Arial" w:cs="Arial"/>
          <w:lang w:eastAsia="ar-SA"/>
        </w:rPr>
        <w:t>a</w:t>
      </w:r>
      <w:r w:rsidRPr="000356E3">
        <w:rPr>
          <w:rFonts w:ascii="Arial" w:eastAsia="Times New Roman" w:hAnsi="Arial" w:cs="Arial"/>
          <w:lang w:eastAsia="ar-SA"/>
        </w:rPr>
        <w:t xml:space="preserve"> </w:t>
      </w:r>
      <w:r w:rsidR="00135C49" w:rsidRPr="00872903">
        <w:rPr>
          <w:rFonts w:ascii="Arial" w:hAnsi="Arial" w:cs="Arial"/>
          <w:bCs/>
        </w:rPr>
        <w:t>implantação do viário Pirarucu - Interligação de Carapicuíba e Barueri</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297CDA">
        <w:rPr>
          <w:rFonts w:ascii="Arial" w:hAnsi="Arial" w:cs="Arial"/>
        </w:rPr>
        <w:t>36</w:t>
      </w:r>
      <w:r w:rsidR="00773066">
        <w:rPr>
          <w:rFonts w:ascii="Arial" w:hAnsi="Arial" w:cs="Arial"/>
        </w:rPr>
        <w:t>0</w:t>
      </w:r>
      <w:r w:rsidR="00773066" w:rsidRPr="0023216F">
        <w:rPr>
          <w:rFonts w:ascii="Arial" w:hAnsi="Arial" w:cs="Arial"/>
        </w:rPr>
        <w:t xml:space="preserve"> (</w:t>
      </w:r>
      <w:r w:rsidR="00297CDA">
        <w:rPr>
          <w:rFonts w:ascii="Arial" w:hAnsi="Arial" w:cs="Arial"/>
        </w:rPr>
        <w:t>tre</w:t>
      </w:r>
      <w:r w:rsidR="00773066">
        <w:rPr>
          <w:rFonts w:ascii="Arial" w:hAnsi="Arial" w:cs="Arial"/>
        </w:rPr>
        <w:t xml:space="preserve">zentos e </w:t>
      </w:r>
      <w:r w:rsidR="00297CDA">
        <w:rPr>
          <w:rFonts w:ascii="Arial" w:hAnsi="Arial" w:cs="Arial"/>
        </w:rPr>
        <w:t>sess</w:t>
      </w:r>
      <w:r w:rsidR="00773066">
        <w:rPr>
          <w:rFonts w:ascii="Arial" w:hAnsi="Arial" w:cs="Arial"/>
        </w:rPr>
        <w:t>enta</w:t>
      </w:r>
      <w:r w:rsidR="00773066" w:rsidRPr="0023216F">
        <w:rPr>
          <w:rFonts w:ascii="Arial" w:hAnsi="Arial" w:cs="Arial"/>
        </w:rPr>
        <w:t>)</w:t>
      </w:r>
      <w:r w:rsidRPr="000356E3">
        <w:rPr>
          <w:rFonts w:ascii="Arial" w:eastAsia="Times New Roman" w:hAnsi="Arial" w:cs="Arial"/>
          <w:lang w:eastAsia="ar-SA"/>
        </w:rPr>
        <w:t xml:space="preserve"> dias, a serem iniciados até 30 (trinta) dias após o recebimento da Ordem de Serviço, expedida pela Secretaria de </w:t>
      </w:r>
      <w:r w:rsidR="00D66803">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190536" w:rsidRDefault="00190536"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32328C">
        <w:rPr>
          <w:rFonts w:ascii="Arial" w:eastAsia="Times New Roman" w:hAnsi="Arial" w:cs="Arial"/>
          <w:lang w:eastAsia="ar-SA"/>
        </w:rPr>
        <w:t>Projetos Especiais, Convênios e Habitação</w:t>
      </w:r>
      <w:r w:rsidR="00A25C43">
        <w:rPr>
          <w:rFonts w:ascii="Arial" w:eastAsia="Times New Roman" w:hAnsi="Arial" w:cs="Arial"/>
          <w:lang w:eastAsia="ar-SA"/>
        </w:rPr>
        <w:t>.</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731EB" w:rsidRDefault="000731EB" w:rsidP="003C5CAD">
      <w:pPr>
        <w:tabs>
          <w:tab w:val="left" w:pos="1260"/>
        </w:tabs>
        <w:suppressAutoHyphens/>
        <w:ind w:left="-426"/>
        <w:jc w:val="both"/>
        <w:rPr>
          <w:rFonts w:ascii="Arial" w:eastAsia="Times New Roman" w:hAnsi="Arial" w:cs="Arial"/>
          <w:lang w:eastAsia="ar-SA"/>
        </w:rPr>
      </w:pPr>
    </w:p>
    <w:p w:rsidR="00F7365A" w:rsidRDefault="00F7365A" w:rsidP="003C5CAD">
      <w:pPr>
        <w:tabs>
          <w:tab w:val="left" w:pos="1260"/>
        </w:tabs>
        <w:suppressAutoHyphens/>
        <w:ind w:left="-426"/>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8521E">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98521E">
        <w:rPr>
          <w:rFonts w:ascii="Arial" w:eastAsia="Times New Roman" w:hAnsi="Arial" w:cs="Arial"/>
          <w:lang w:eastAsia="ar-SA"/>
        </w:rPr>
        <w:t>Projetos Especiais, Convênios e Habitação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642C59">
        <w:rPr>
          <w:rFonts w:ascii="Arial" w:eastAsia="Times New Roman" w:hAnsi="Arial" w:cs="Arial"/>
          <w:lang w:eastAsia="ar-SA"/>
        </w:rPr>
        <w:t>Projetos Especiais, Convênios e Habitação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511FAE">
        <w:rPr>
          <w:rFonts w:ascii="Arial" w:eastAsia="Times New Roman" w:hAnsi="Arial" w:cs="Arial"/>
          <w:lang w:eastAsia="ar-SA"/>
        </w:rPr>
        <w:t>Projetos Especiais, Convênios e Habitação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5D6FE1">
        <w:rPr>
          <w:rFonts w:ascii="Arial" w:hAnsi="Arial" w:cs="Arial"/>
        </w:rPr>
        <w:t>21</w:t>
      </w:r>
      <w:r w:rsidR="00913D9A">
        <w:rPr>
          <w:rFonts w:ascii="Arial" w:hAnsi="Arial" w:cs="Arial"/>
        </w:rPr>
        <w:t xml:space="preserve">.01.15.451.0006.4.4.90.51-99 (transferências e convênios </w:t>
      </w:r>
      <w:r w:rsidR="000731EB">
        <w:rPr>
          <w:rFonts w:ascii="Arial" w:hAnsi="Arial" w:cs="Arial"/>
        </w:rPr>
        <w:t>Estadu</w:t>
      </w:r>
      <w:r w:rsidR="00913D9A">
        <w:rPr>
          <w:rFonts w:ascii="Arial" w:hAnsi="Arial" w:cs="Arial"/>
        </w:rPr>
        <w:t xml:space="preserve">ais - vinculados) e </w:t>
      </w:r>
      <w:r w:rsidR="005D6FE1">
        <w:rPr>
          <w:rFonts w:ascii="Arial" w:hAnsi="Arial" w:cs="Arial"/>
        </w:rPr>
        <w:t>21</w:t>
      </w:r>
      <w:r w:rsidR="00913D9A">
        <w:rPr>
          <w:rFonts w:ascii="Arial" w:hAnsi="Arial" w:cs="Arial"/>
        </w:rPr>
        <w:t>.01.15.451.0006.4.4.90.51-99 (</w:t>
      </w:r>
      <w:r w:rsidR="000731EB">
        <w:rPr>
          <w:rFonts w:ascii="Arial" w:hAnsi="Arial" w:cs="Arial"/>
        </w:rPr>
        <w:t>Tesouro</w:t>
      </w:r>
      <w:r w:rsidR="00913D9A">
        <w:rPr>
          <w:rFonts w:ascii="Arial" w:hAnsi="Arial" w:cs="Arial"/>
        </w:rPr>
        <w:t>)</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w:t>
      </w:r>
      <w:r w:rsidRPr="000356E3">
        <w:rPr>
          <w:rFonts w:ascii="Arial" w:eastAsia="Times New Roman" w:hAnsi="Arial" w:cs="Arial"/>
          <w:lang w:eastAsia="ar-SA"/>
        </w:rPr>
        <w:lastRenderedPageBreak/>
        <w:t xml:space="preserve">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B96958" w:rsidRPr="00B96958" w:rsidRDefault="00302941" w:rsidP="00B96958">
      <w:pPr>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B96958" w:rsidRPr="00B96958">
        <w:rPr>
          <w:rFonts w:ascii="Arial" w:hAnsi="Arial" w:cs="Arial"/>
          <w:b/>
          <w:bCs/>
        </w:rPr>
        <w:t>CONTRATAÇÃO DE EMPRESA PARA IMPLANTAÇÃO DO VIÁRIO PIRARUCU - INTERLIGAÇÃO DE CARAPICUÍBA E BARUERI.</w:t>
      </w:r>
    </w:p>
    <w:p w:rsidR="00B96958" w:rsidRPr="00A17945" w:rsidRDefault="00B96958" w:rsidP="00B96958">
      <w:pPr>
        <w:ind w:left="-426"/>
        <w:rPr>
          <w:rFonts w:ascii="Arial" w:hAnsi="Arial" w:cs="Arial"/>
          <w:sz w:val="28"/>
          <w:szCs w:val="28"/>
        </w:rPr>
      </w:pPr>
    </w:p>
    <w:p w:rsidR="00302941" w:rsidRDefault="00302941" w:rsidP="00B96958">
      <w:pPr>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lastRenderedPageBreak/>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lastRenderedPageBreak/>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F61" w:rsidRDefault="00BD1F61" w:rsidP="00937643">
      <w:r>
        <w:separator/>
      </w:r>
    </w:p>
  </w:endnote>
  <w:endnote w:type="continuationSeparator" w:id="0">
    <w:p w:rsidR="00BD1F61" w:rsidRDefault="00BD1F61"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564989" w:rsidRDefault="00564989">
        <w:pPr>
          <w:pStyle w:val="Rodap"/>
          <w:jc w:val="right"/>
        </w:pPr>
        <w:r>
          <w:fldChar w:fldCharType="begin"/>
        </w:r>
        <w:r>
          <w:instrText>PAGE   \* MERGEFORMAT</w:instrText>
        </w:r>
        <w:r>
          <w:fldChar w:fldCharType="separate"/>
        </w:r>
        <w:r w:rsidR="00DA0761">
          <w:rPr>
            <w:noProof/>
          </w:rPr>
          <w:t>31</w:t>
        </w:r>
        <w:r>
          <w:fldChar w:fldCharType="end"/>
        </w:r>
      </w:p>
    </w:sdtContent>
  </w:sdt>
  <w:p w:rsidR="00564989" w:rsidRPr="00242C0E" w:rsidRDefault="00564989"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6310</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3A378F">
      <w:rPr>
        <w:rFonts w:ascii="Times New Roman" w:eastAsia="Times New Roman" w:hAnsi="Times New Roman" w:cs="Times New Roman"/>
        <w:sz w:val="20"/>
        <w:szCs w:val="20"/>
        <w:lang w:eastAsia="ar-SA"/>
      </w:rPr>
      <w:t>11</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564989" w:rsidRPr="00242C0E" w:rsidRDefault="00564989" w:rsidP="00242C0E">
    <w:pPr>
      <w:tabs>
        <w:tab w:val="center" w:pos="4419"/>
        <w:tab w:val="right" w:pos="8838"/>
      </w:tabs>
      <w:suppressAutoHyphens/>
      <w:ind w:right="360"/>
      <w:rPr>
        <w:rFonts w:ascii="Arial" w:eastAsia="Times New Roman" w:hAnsi="Arial" w:cs="Arial"/>
        <w:sz w:val="16"/>
        <w:szCs w:val="16"/>
        <w:lang w:eastAsia="ar-SA"/>
      </w:rPr>
    </w:pPr>
  </w:p>
  <w:p w:rsidR="00564989" w:rsidRDefault="0056498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F61" w:rsidRDefault="00BD1F61" w:rsidP="00937643">
      <w:r>
        <w:separator/>
      </w:r>
    </w:p>
  </w:footnote>
  <w:footnote w:type="continuationSeparator" w:id="0">
    <w:p w:rsidR="00BD1F61" w:rsidRDefault="00BD1F61"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989" w:rsidRPr="00937643" w:rsidRDefault="00564989"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564989" w:rsidRPr="00937643" w:rsidRDefault="00564989"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564989" w:rsidRPr="00937643" w:rsidRDefault="00564989"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564989" w:rsidRDefault="0056498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27A"/>
    <w:rsid w:val="00002BFF"/>
    <w:rsid w:val="00003463"/>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1CF7"/>
    <w:rsid w:val="00032112"/>
    <w:rsid w:val="000356E3"/>
    <w:rsid w:val="000379E9"/>
    <w:rsid w:val="00037B9E"/>
    <w:rsid w:val="00041119"/>
    <w:rsid w:val="0004140A"/>
    <w:rsid w:val="00042EE8"/>
    <w:rsid w:val="00043653"/>
    <w:rsid w:val="00046ABD"/>
    <w:rsid w:val="00046EE3"/>
    <w:rsid w:val="000554F5"/>
    <w:rsid w:val="00056248"/>
    <w:rsid w:val="00057DFC"/>
    <w:rsid w:val="00063928"/>
    <w:rsid w:val="000731EB"/>
    <w:rsid w:val="00073AAC"/>
    <w:rsid w:val="0007538C"/>
    <w:rsid w:val="00076B4D"/>
    <w:rsid w:val="00077297"/>
    <w:rsid w:val="00077707"/>
    <w:rsid w:val="000819CE"/>
    <w:rsid w:val="000827AB"/>
    <w:rsid w:val="000844EC"/>
    <w:rsid w:val="0008645C"/>
    <w:rsid w:val="000867F9"/>
    <w:rsid w:val="00087562"/>
    <w:rsid w:val="00093AD9"/>
    <w:rsid w:val="000A2A68"/>
    <w:rsid w:val="000A2BA0"/>
    <w:rsid w:val="000A34C0"/>
    <w:rsid w:val="000A77DB"/>
    <w:rsid w:val="000B36FE"/>
    <w:rsid w:val="000B3DDA"/>
    <w:rsid w:val="000B62CA"/>
    <w:rsid w:val="000C5534"/>
    <w:rsid w:val="000C7DB3"/>
    <w:rsid w:val="000D105F"/>
    <w:rsid w:val="000D5C6D"/>
    <w:rsid w:val="000D7595"/>
    <w:rsid w:val="000E2DD9"/>
    <w:rsid w:val="000E4BD7"/>
    <w:rsid w:val="000E5D2B"/>
    <w:rsid w:val="000E75D1"/>
    <w:rsid w:val="000F01DA"/>
    <w:rsid w:val="000F3DB8"/>
    <w:rsid w:val="000F448D"/>
    <w:rsid w:val="00102055"/>
    <w:rsid w:val="001037ED"/>
    <w:rsid w:val="0010406C"/>
    <w:rsid w:val="00105DEA"/>
    <w:rsid w:val="00106633"/>
    <w:rsid w:val="00107266"/>
    <w:rsid w:val="00125FFF"/>
    <w:rsid w:val="00126BD0"/>
    <w:rsid w:val="00131B21"/>
    <w:rsid w:val="001340E7"/>
    <w:rsid w:val="00135C49"/>
    <w:rsid w:val="00142D1F"/>
    <w:rsid w:val="001467D3"/>
    <w:rsid w:val="00146F0A"/>
    <w:rsid w:val="00150CC1"/>
    <w:rsid w:val="00153263"/>
    <w:rsid w:val="00154EAD"/>
    <w:rsid w:val="00171C90"/>
    <w:rsid w:val="00172D05"/>
    <w:rsid w:val="00173A93"/>
    <w:rsid w:val="001746C5"/>
    <w:rsid w:val="00177FC2"/>
    <w:rsid w:val="00181613"/>
    <w:rsid w:val="00181A30"/>
    <w:rsid w:val="001836D7"/>
    <w:rsid w:val="00185878"/>
    <w:rsid w:val="00190536"/>
    <w:rsid w:val="00193E30"/>
    <w:rsid w:val="00195F83"/>
    <w:rsid w:val="0019665C"/>
    <w:rsid w:val="001A085C"/>
    <w:rsid w:val="001A2ECE"/>
    <w:rsid w:val="001A3C27"/>
    <w:rsid w:val="001A46AA"/>
    <w:rsid w:val="001A6662"/>
    <w:rsid w:val="001A6A3F"/>
    <w:rsid w:val="001B0EBB"/>
    <w:rsid w:val="001B2ACA"/>
    <w:rsid w:val="001B2B58"/>
    <w:rsid w:val="001B2B98"/>
    <w:rsid w:val="001B3153"/>
    <w:rsid w:val="001B6208"/>
    <w:rsid w:val="001B6399"/>
    <w:rsid w:val="001B6FDB"/>
    <w:rsid w:val="001C0CF6"/>
    <w:rsid w:val="001C4BFD"/>
    <w:rsid w:val="001C4FFB"/>
    <w:rsid w:val="001C579F"/>
    <w:rsid w:val="001D286E"/>
    <w:rsid w:val="001D6BE3"/>
    <w:rsid w:val="001D7891"/>
    <w:rsid w:val="001E1BF7"/>
    <w:rsid w:val="001E1C8E"/>
    <w:rsid w:val="001E4078"/>
    <w:rsid w:val="001E7674"/>
    <w:rsid w:val="001F1BA8"/>
    <w:rsid w:val="001F1E47"/>
    <w:rsid w:val="001F4AC7"/>
    <w:rsid w:val="001F4DF1"/>
    <w:rsid w:val="001F5B19"/>
    <w:rsid w:val="001F62A8"/>
    <w:rsid w:val="00201815"/>
    <w:rsid w:val="002038F5"/>
    <w:rsid w:val="002063ED"/>
    <w:rsid w:val="00206BB7"/>
    <w:rsid w:val="00211638"/>
    <w:rsid w:val="00212E58"/>
    <w:rsid w:val="00215C30"/>
    <w:rsid w:val="0021798C"/>
    <w:rsid w:val="00217BCA"/>
    <w:rsid w:val="00220B6B"/>
    <w:rsid w:val="0022160E"/>
    <w:rsid w:val="00227C8F"/>
    <w:rsid w:val="00231393"/>
    <w:rsid w:val="0023216F"/>
    <w:rsid w:val="00233D99"/>
    <w:rsid w:val="00236A37"/>
    <w:rsid w:val="00237598"/>
    <w:rsid w:val="0024003E"/>
    <w:rsid w:val="002400CD"/>
    <w:rsid w:val="00242C0E"/>
    <w:rsid w:val="00247990"/>
    <w:rsid w:val="002500AE"/>
    <w:rsid w:val="002536B5"/>
    <w:rsid w:val="00260BED"/>
    <w:rsid w:val="00266300"/>
    <w:rsid w:val="0027024A"/>
    <w:rsid w:val="00276815"/>
    <w:rsid w:val="00276E71"/>
    <w:rsid w:val="00280E7D"/>
    <w:rsid w:val="00283222"/>
    <w:rsid w:val="00284FDC"/>
    <w:rsid w:val="0028662B"/>
    <w:rsid w:val="00286FAC"/>
    <w:rsid w:val="002902AE"/>
    <w:rsid w:val="002903EF"/>
    <w:rsid w:val="00290C10"/>
    <w:rsid w:val="00291804"/>
    <w:rsid w:val="00293086"/>
    <w:rsid w:val="002931B8"/>
    <w:rsid w:val="0029513E"/>
    <w:rsid w:val="00297344"/>
    <w:rsid w:val="00297CDA"/>
    <w:rsid w:val="002A67B4"/>
    <w:rsid w:val="002B0C7E"/>
    <w:rsid w:val="002B234D"/>
    <w:rsid w:val="002B2D9A"/>
    <w:rsid w:val="002B3F85"/>
    <w:rsid w:val="002B50E7"/>
    <w:rsid w:val="002B660F"/>
    <w:rsid w:val="002B66F5"/>
    <w:rsid w:val="002B6733"/>
    <w:rsid w:val="002B7316"/>
    <w:rsid w:val="002C2FD3"/>
    <w:rsid w:val="002D1653"/>
    <w:rsid w:val="002D5DBA"/>
    <w:rsid w:val="002E0CD7"/>
    <w:rsid w:val="002E4A44"/>
    <w:rsid w:val="002E5540"/>
    <w:rsid w:val="002E561B"/>
    <w:rsid w:val="002E637D"/>
    <w:rsid w:val="002E73D9"/>
    <w:rsid w:val="002E7B75"/>
    <w:rsid w:val="002F4DB9"/>
    <w:rsid w:val="002F5897"/>
    <w:rsid w:val="003013BF"/>
    <w:rsid w:val="003014EF"/>
    <w:rsid w:val="00302941"/>
    <w:rsid w:val="00302F1F"/>
    <w:rsid w:val="003033C0"/>
    <w:rsid w:val="003045CA"/>
    <w:rsid w:val="0030480C"/>
    <w:rsid w:val="003064CF"/>
    <w:rsid w:val="0030780E"/>
    <w:rsid w:val="003109E1"/>
    <w:rsid w:val="00310BA9"/>
    <w:rsid w:val="00311550"/>
    <w:rsid w:val="00313A15"/>
    <w:rsid w:val="00314DEA"/>
    <w:rsid w:val="00315912"/>
    <w:rsid w:val="00315F11"/>
    <w:rsid w:val="003163D7"/>
    <w:rsid w:val="0032157D"/>
    <w:rsid w:val="00321D4F"/>
    <w:rsid w:val="0032247A"/>
    <w:rsid w:val="0032328C"/>
    <w:rsid w:val="00324A6B"/>
    <w:rsid w:val="00325F56"/>
    <w:rsid w:val="003325E8"/>
    <w:rsid w:val="0033768A"/>
    <w:rsid w:val="003379F2"/>
    <w:rsid w:val="00340686"/>
    <w:rsid w:val="00340DA6"/>
    <w:rsid w:val="00341138"/>
    <w:rsid w:val="00341C0A"/>
    <w:rsid w:val="00341C60"/>
    <w:rsid w:val="00344B4B"/>
    <w:rsid w:val="003512AC"/>
    <w:rsid w:val="003527F7"/>
    <w:rsid w:val="00353493"/>
    <w:rsid w:val="00356B4B"/>
    <w:rsid w:val="0036168A"/>
    <w:rsid w:val="00362CCF"/>
    <w:rsid w:val="00364D25"/>
    <w:rsid w:val="003664A5"/>
    <w:rsid w:val="0037059D"/>
    <w:rsid w:val="003709F6"/>
    <w:rsid w:val="00370BFA"/>
    <w:rsid w:val="00373D8C"/>
    <w:rsid w:val="00375574"/>
    <w:rsid w:val="00377F5A"/>
    <w:rsid w:val="00383A83"/>
    <w:rsid w:val="003849B6"/>
    <w:rsid w:val="00385A8E"/>
    <w:rsid w:val="003862F8"/>
    <w:rsid w:val="0039320A"/>
    <w:rsid w:val="003956E7"/>
    <w:rsid w:val="00395EC7"/>
    <w:rsid w:val="00396B1B"/>
    <w:rsid w:val="00397905"/>
    <w:rsid w:val="00397B5A"/>
    <w:rsid w:val="003A0521"/>
    <w:rsid w:val="003A0BFA"/>
    <w:rsid w:val="003A2704"/>
    <w:rsid w:val="003A378F"/>
    <w:rsid w:val="003A6335"/>
    <w:rsid w:val="003B0693"/>
    <w:rsid w:val="003B2DEE"/>
    <w:rsid w:val="003B380C"/>
    <w:rsid w:val="003B4AC7"/>
    <w:rsid w:val="003B4BEF"/>
    <w:rsid w:val="003B570D"/>
    <w:rsid w:val="003B5CB0"/>
    <w:rsid w:val="003C10AE"/>
    <w:rsid w:val="003C13C5"/>
    <w:rsid w:val="003C32A6"/>
    <w:rsid w:val="003C3AC4"/>
    <w:rsid w:val="003C5CAD"/>
    <w:rsid w:val="003D1CFA"/>
    <w:rsid w:val="003E0ABB"/>
    <w:rsid w:val="003E5E05"/>
    <w:rsid w:val="003E65E2"/>
    <w:rsid w:val="003E6C02"/>
    <w:rsid w:val="003F4D49"/>
    <w:rsid w:val="003F5E9C"/>
    <w:rsid w:val="004038AD"/>
    <w:rsid w:val="004125E9"/>
    <w:rsid w:val="00412E49"/>
    <w:rsid w:val="00414C65"/>
    <w:rsid w:val="00415FF1"/>
    <w:rsid w:val="004167D7"/>
    <w:rsid w:val="00420735"/>
    <w:rsid w:val="004308C4"/>
    <w:rsid w:val="004349F4"/>
    <w:rsid w:val="00435168"/>
    <w:rsid w:val="00436350"/>
    <w:rsid w:val="004375E4"/>
    <w:rsid w:val="00444441"/>
    <w:rsid w:val="004458E2"/>
    <w:rsid w:val="0044666C"/>
    <w:rsid w:val="004553EE"/>
    <w:rsid w:val="00465E1C"/>
    <w:rsid w:val="004705E5"/>
    <w:rsid w:val="0047274F"/>
    <w:rsid w:val="00475036"/>
    <w:rsid w:val="004759E1"/>
    <w:rsid w:val="0048208D"/>
    <w:rsid w:val="00482A14"/>
    <w:rsid w:val="00487BED"/>
    <w:rsid w:val="00494BCE"/>
    <w:rsid w:val="0049609E"/>
    <w:rsid w:val="00497876"/>
    <w:rsid w:val="004A154D"/>
    <w:rsid w:val="004A2238"/>
    <w:rsid w:val="004A558C"/>
    <w:rsid w:val="004A5991"/>
    <w:rsid w:val="004A59D2"/>
    <w:rsid w:val="004B10A9"/>
    <w:rsid w:val="004B2B7E"/>
    <w:rsid w:val="004B2D69"/>
    <w:rsid w:val="004B56AD"/>
    <w:rsid w:val="004B59C6"/>
    <w:rsid w:val="004B7971"/>
    <w:rsid w:val="004C18DB"/>
    <w:rsid w:val="004C432D"/>
    <w:rsid w:val="004C47AC"/>
    <w:rsid w:val="004C55C4"/>
    <w:rsid w:val="004C7079"/>
    <w:rsid w:val="004C769E"/>
    <w:rsid w:val="004D1B57"/>
    <w:rsid w:val="004D2B30"/>
    <w:rsid w:val="004D2CED"/>
    <w:rsid w:val="004D3F7D"/>
    <w:rsid w:val="004D50DD"/>
    <w:rsid w:val="004D6E3E"/>
    <w:rsid w:val="004E6545"/>
    <w:rsid w:val="004E7E9A"/>
    <w:rsid w:val="004F0A6D"/>
    <w:rsid w:val="004F7A21"/>
    <w:rsid w:val="0050403D"/>
    <w:rsid w:val="00505A21"/>
    <w:rsid w:val="00506652"/>
    <w:rsid w:val="00506852"/>
    <w:rsid w:val="00511FAE"/>
    <w:rsid w:val="0051334C"/>
    <w:rsid w:val="00513896"/>
    <w:rsid w:val="0051603C"/>
    <w:rsid w:val="0051677A"/>
    <w:rsid w:val="00524E21"/>
    <w:rsid w:val="005250C0"/>
    <w:rsid w:val="00525750"/>
    <w:rsid w:val="00525E41"/>
    <w:rsid w:val="00526237"/>
    <w:rsid w:val="00526D04"/>
    <w:rsid w:val="005278BF"/>
    <w:rsid w:val="00534CC6"/>
    <w:rsid w:val="005351C1"/>
    <w:rsid w:val="00535229"/>
    <w:rsid w:val="005425EF"/>
    <w:rsid w:val="0054333F"/>
    <w:rsid w:val="005439D9"/>
    <w:rsid w:val="00543D18"/>
    <w:rsid w:val="00544548"/>
    <w:rsid w:val="00547AAA"/>
    <w:rsid w:val="005507B6"/>
    <w:rsid w:val="005518E9"/>
    <w:rsid w:val="00553CEE"/>
    <w:rsid w:val="005571D7"/>
    <w:rsid w:val="005647AB"/>
    <w:rsid w:val="00564989"/>
    <w:rsid w:val="005725A7"/>
    <w:rsid w:val="00580FDF"/>
    <w:rsid w:val="0058251B"/>
    <w:rsid w:val="00591B1E"/>
    <w:rsid w:val="00592EBB"/>
    <w:rsid w:val="0059740B"/>
    <w:rsid w:val="0059772A"/>
    <w:rsid w:val="00597C2A"/>
    <w:rsid w:val="005A616E"/>
    <w:rsid w:val="005B1F36"/>
    <w:rsid w:val="005B4DCF"/>
    <w:rsid w:val="005B56C8"/>
    <w:rsid w:val="005B591D"/>
    <w:rsid w:val="005B65AC"/>
    <w:rsid w:val="005B6B1F"/>
    <w:rsid w:val="005C1E5D"/>
    <w:rsid w:val="005C3FDC"/>
    <w:rsid w:val="005C5CBE"/>
    <w:rsid w:val="005D0599"/>
    <w:rsid w:val="005D0CF1"/>
    <w:rsid w:val="005D2DE4"/>
    <w:rsid w:val="005D3B79"/>
    <w:rsid w:val="005D513B"/>
    <w:rsid w:val="005D5D40"/>
    <w:rsid w:val="005D63BA"/>
    <w:rsid w:val="005D6FE1"/>
    <w:rsid w:val="005D7CCA"/>
    <w:rsid w:val="005E14F0"/>
    <w:rsid w:val="005E2E8F"/>
    <w:rsid w:val="005E3CE8"/>
    <w:rsid w:val="005E6860"/>
    <w:rsid w:val="005E7546"/>
    <w:rsid w:val="005F032F"/>
    <w:rsid w:val="005F121E"/>
    <w:rsid w:val="005F3C0E"/>
    <w:rsid w:val="005F5AA3"/>
    <w:rsid w:val="00601DE5"/>
    <w:rsid w:val="00602AA5"/>
    <w:rsid w:val="006041AF"/>
    <w:rsid w:val="00604389"/>
    <w:rsid w:val="0061083B"/>
    <w:rsid w:val="006135FC"/>
    <w:rsid w:val="0061402C"/>
    <w:rsid w:val="00615658"/>
    <w:rsid w:val="00615E42"/>
    <w:rsid w:val="006205F7"/>
    <w:rsid w:val="006228B9"/>
    <w:rsid w:val="006233D9"/>
    <w:rsid w:val="00624F73"/>
    <w:rsid w:val="006334C3"/>
    <w:rsid w:val="0063506E"/>
    <w:rsid w:val="00642C59"/>
    <w:rsid w:val="006531C1"/>
    <w:rsid w:val="00655356"/>
    <w:rsid w:val="00655C61"/>
    <w:rsid w:val="00665F30"/>
    <w:rsid w:val="00670A3D"/>
    <w:rsid w:val="00673D73"/>
    <w:rsid w:val="00684E85"/>
    <w:rsid w:val="00687385"/>
    <w:rsid w:val="006901EE"/>
    <w:rsid w:val="006904D5"/>
    <w:rsid w:val="00690E3F"/>
    <w:rsid w:val="006910DF"/>
    <w:rsid w:val="006A0EA2"/>
    <w:rsid w:val="006A60FB"/>
    <w:rsid w:val="006A6AF6"/>
    <w:rsid w:val="006B2A7B"/>
    <w:rsid w:val="006B6FF7"/>
    <w:rsid w:val="006B77E8"/>
    <w:rsid w:val="006C3F27"/>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700FFE"/>
    <w:rsid w:val="007037D0"/>
    <w:rsid w:val="00710AC4"/>
    <w:rsid w:val="00711B66"/>
    <w:rsid w:val="00712482"/>
    <w:rsid w:val="00713E09"/>
    <w:rsid w:val="0071585C"/>
    <w:rsid w:val="00717215"/>
    <w:rsid w:val="007207A2"/>
    <w:rsid w:val="007210FB"/>
    <w:rsid w:val="00731FDB"/>
    <w:rsid w:val="007321D6"/>
    <w:rsid w:val="007371B6"/>
    <w:rsid w:val="00741252"/>
    <w:rsid w:val="00742FE6"/>
    <w:rsid w:val="0074565D"/>
    <w:rsid w:val="0074600C"/>
    <w:rsid w:val="00746673"/>
    <w:rsid w:val="007547D4"/>
    <w:rsid w:val="0075674B"/>
    <w:rsid w:val="00761BD1"/>
    <w:rsid w:val="007625D6"/>
    <w:rsid w:val="00763C0A"/>
    <w:rsid w:val="00765A5B"/>
    <w:rsid w:val="00766E27"/>
    <w:rsid w:val="00770D51"/>
    <w:rsid w:val="007722F3"/>
    <w:rsid w:val="00773066"/>
    <w:rsid w:val="007744CC"/>
    <w:rsid w:val="007759F9"/>
    <w:rsid w:val="00775E5E"/>
    <w:rsid w:val="00777BCD"/>
    <w:rsid w:val="00780632"/>
    <w:rsid w:val="00782A29"/>
    <w:rsid w:val="00794833"/>
    <w:rsid w:val="00796297"/>
    <w:rsid w:val="007A3BEC"/>
    <w:rsid w:val="007A4C1E"/>
    <w:rsid w:val="007A5E1E"/>
    <w:rsid w:val="007A6B81"/>
    <w:rsid w:val="007A77B9"/>
    <w:rsid w:val="007B128E"/>
    <w:rsid w:val="007B3C87"/>
    <w:rsid w:val="007B5181"/>
    <w:rsid w:val="007B51EE"/>
    <w:rsid w:val="007B610E"/>
    <w:rsid w:val="007C61C1"/>
    <w:rsid w:val="007D7834"/>
    <w:rsid w:val="007E1C8A"/>
    <w:rsid w:val="007E1FD3"/>
    <w:rsid w:val="007E2AFB"/>
    <w:rsid w:val="007E3118"/>
    <w:rsid w:val="007E3C94"/>
    <w:rsid w:val="007E404B"/>
    <w:rsid w:val="007E40BD"/>
    <w:rsid w:val="007E5264"/>
    <w:rsid w:val="007E7C21"/>
    <w:rsid w:val="007F0460"/>
    <w:rsid w:val="007F1B2D"/>
    <w:rsid w:val="007F2CE1"/>
    <w:rsid w:val="007F331D"/>
    <w:rsid w:val="007F524B"/>
    <w:rsid w:val="00803314"/>
    <w:rsid w:val="00803E05"/>
    <w:rsid w:val="008042DE"/>
    <w:rsid w:val="00804A4A"/>
    <w:rsid w:val="00807582"/>
    <w:rsid w:val="00810CCF"/>
    <w:rsid w:val="00814F24"/>
    <w:rsid w:val="00817E19"/>
    <w:rsid w:val="00817E7D"/>
    <w:rsid w:val="00821FDC"/>
    <w:rsid w:val="00824BE5"/>
    <w:rsid w:val="008257F8"/>
    <w:rsid w:val="008276A7"/>
    <w:rsid w:val="00827A40"/>
    <w:rsid w:val="008336F5"/>
    <w:rsid w:val="008354B1"/>
    <w:rsid w:val="00837293"/>
    <w:rsid w:val="008373E5"/>
    <w:rsid w:val="008375FE"/>
    <w:rsid w:val="00843A73"/>
    <w:rsid w:val="0084480E"/>
    <w:rsid w:val="008517A2"/>
    <w:rsid w:val="00853BE7"/>
    <w:rsid w:val="008567AF"/>
    <w:rsid w:val="00856EF7"/>
    <w:rsid w:val="00864F6E"/>
    <w:rsid w:val="00866CDE"/>
    <w:rsid w:val="00872903"/>
    <w:rsid w:val="0087317B"/>
    <w:rsid w:val="00874D74"/>
    <w:rsid w:val="008865F2"/>
    <w:rsid w:val="00891FF0"/>
    <w:rsid w:val="0089400B"/>
    <w:rsid w:val="008967FA"/>
    <w:rsid w:val="00896AC5"/>
    <w:rsid w:val="008A1279"/>
    <w:rsid w:val="008A2FC6"/>
    <w:rsid w:val="008A36FE"/>
    <w:rsid w:val="008B29B9"/>
    <w:rsid w:val="008B7FDA"/>
    <w:rsid w:val="008C66C7"/>
    <w:rsid w:val="008D13DD"/>
    <w:rsid w:val="008D20D4"/>
    <w:rsid w:val="008D2895"/>
    <w:rsid w:val="008E2A64"/>
    <w:rsid w:val="008E2F8B"/>
    <w:rsid w:val="008E4F49"/>
    <w:rsid w:val="008E5532"/>
    <w:rsid w:val="008E72F4"/>
    <w:rsid w:val="008F38F0"/>
    <w:rsid w:val="008F3FC7"/>
    <w:rsid w:val="008F64CA"/>
    <w:rsid w:val="00901F70"/>
    <w:rsid w:val="00902B72"/>
    <w:rsid w:val="00902C0E"/>
    <w:rsid w:val="00904166"/>
    <w:rsid w:val="009060F0"/>
    <w:rsid w:val="00913D9A"/>
    <w:rsid w:val="00914A93"/>
    <w:rsid w:val="00915693"/>
    <w:rsid w:val="00916E0C"/>
    <w:rsid w:val="00923735"/>
    <w:rsid w:val="00923EDC"/>
    <w:rsid w:val="00924880"/>
    <w:rsid w:val="009256C9"/>
    <w:rsid w:val="009309D7"/>
    <w:rsid w:val="00931152"/>
    <w:rsid w:val="00934F3C"/>
    <w:rsid w:val="009374D1"/>
    <w:rsid w:val="00937643"/>
    <w:rsid w:val="00941419"/>
    <w:rsid w:val="0094316C"/>
    <w:rsid w:val="009450D5"/>
    <w:rsid w:val="00945244"/>
    <w:rsid w:val="009515D2"/>
    <w:rsid w:val="00957761"/>
    <w:rsid w:val="00963B57"/>
    <w:rsid w:val="00967454"/>
    <w:rsid w:val="0097074E"/>
    <w:rsid w:val="009709B3"/>
    <w:rsid w:val="00973BC7"/>
    <w:rsid w:val="00973D06"/>
    <w:rsid w:val="00975844"/>
    <w:rsid w:val="00975888"/>
    <w:rsid w:val="00977228"/>
    <w:rsid w:val="00977769"/>
    <w:rsid w:val="00977B82"/>
    <w:rsid w:val="0098423C"/>
    <w:rsid w:val="0098521E"/>
    <w:rsid w:val="00987565"/>
    <w:rsid w:val="00987A5C"/>
    <w:rsid w:val="00996B5A"/>
    <w:rsid w:val="00996EBF"/>
    <w:rsid w:val="009A036A"/>
    <w:rsid w:val="009A4474"/>
    <w:rsid w:val="009A5210"/>
    <w:rsid w:val="009A6CF1"/>
    <w:rsid w:val="009A725E"/>
    <w:rsid w:val="009B43E9"/>
    <w:rsid w:val="009B660E"/>
    <w:rsid w:val="009C26A2"/>
    <w:rsid w:val="009C4208"/>
    <w:rsid w:val="009C73CD"/>
    <w:rsid w:val="009D45CF"/>
    <w:rsid w:val="009D5953"/>
    <w:rsid w:val="009E1330"/>
    <w:rsid w:val="009E27F5"/>
    <w:rsid w:val="009E788F"/>
    <w:rsid w:val="009F0BCF"/>
    <w:rsid w:val="009F3E78"/>
    <w:rsid w:val="009F46B4"/>
    <w:rsid w:val="009F5800"/>
    <w:rsid w:val="009F753C"/>
    <w:rsid w:val="00A01D3F"/>
    <w:rsid w:val="00A02194"/>
    <w:rsid w:val="00A06AF4"/>
    <w:rsid w:val="00A139D0"/>
    <w:rsid w:val="00A14893"/>
    <w:rsid w:val="00A16284"/>
    <w:rsid w:val="00A17945"/>
    <w:rsid w:val="00A17C51"/>
    <w:rsid w:val="00A20673"/>
    <w:rsid w:val="00A20A84"/>
    <w:rsid w:val="00A248D0"/>
    <w:rsid w:val="00A25C43"/>
    <w:rsid w:val="00A31391"/>
    <w:rsid w:val="00A31886"/>
    <w:rsid w:val="00A3410E"/>
    <w:rsid w:val="00A362D7"/>
    <w:rsid w:val="00A41748"/>
    <w:rsid w:val="00A5366B"/>
    <w:rsid w:val="00A54B88"/>
    <w:rsid w:val="00A573E7"/>
    <w:rsid w:val="00A605B7"/>
    <w:rsid w:val="00A62B08"/>
    <w:rsid w:val="00A6504C"/>
    <w:rsid w:val="00A661A2"/>
    <w:rsid w:val="00A66DDA"/>
    <w:rsid w:val="00A675D3"/>
    <w:rsid w:val="00A70936"/>
    <w:rsid w:val="00A757A9"/>
    <w:rsid w:val="00A76165"/>
    <w:rsid w:val="00A824DF"/>
    <w:rsid w:val="00A84A2A"/>
    <w:rsid w:val="00A86BA5"/>
    <w:rsid w:val="00A9058E"/>
    <w:rsid w:val="00A91686"/>
    <w:rsid w:val="00A96E16"/>
    <w:rsid w:val="00AA3611"/>
    <w:rsid w:val="00AA36A4"/>
    <w:rsid w:val="00AA5EE9"/>
    <w:rsid w:val="00AA787F"/>
    <w:rsid w:val="00AA7BE6"/>
    <w:rsid w:val="00AB4322"/>
    <w:rsid w:val="00AB553C"/>
    <w:rsid w:val="00AB64D7"/>
    <w:rsid w:val="00AB7CF3"/>
    <w:rsid w:val="00AC10D0"/>
    <w:rsid w:val="00AC33BF"/>
    <w:rsid w:val="00AC3D76"/>
    <w:rsid w:val="00AC511A"/>
    <w:rsid w:val="00AC76BE"/>
    <w:rsid w:val="00AD1B0E"/>
    <w:rsid w:val="00AD2CAD"/>
    <w:rsid w:val="00AD2EE4"/>
    <w:rsid w:val="00AD31D5"/>
    <w:rsid w:val="00AD4DC7"/>
    <w:rsid w:val="00AD548A"/>
    <w:rsid w:val="00AD6E45"/>
    <w:rsid w:val="00AE2CEC"/>
    <w:rsid w:val="00AE6EA2"/>
    <w:rsid w:val="00AF1916"/>
    <w:rsid w:val="00AF2A69"/>
    <w:rsid w:val="00AF67FF"/>
    <w:rsid w:val="00B10E89"/>
    <w:rsid w:val="00B1118A"/>
    <w:rsid w:val="00B14E93"/>
    <w:rsid w:val="00B21CC8"/>
    <w:rsid w:val="00B22A82"/>
    <w:rsid w:val="00B2347D"/>
    <w:rsid w:val="00B23D3D"/>
    <w:rsid w:val="00B23EDA"/>
    <w:rsid w:val="00B259DA"/>
    <w:rsid w:val="00B27ADA"/>
    <w:rsid w:val="00B31476"/>
    <w:rsid w:val="00B32C48"/>
    <w:rsid w:val="00B34A54"/>
    <w:rsid w:val="00B35147"/>
    <w:rsid w:val="00B36848"/>
    <w:rsid w:val="00B45AFD"/>
    <w:rsid w:val="00B52F85"/>
    <w:rsid w:val="00B53D44"/>
    <w:rsid w:val="00B54B64"/>
    <w:rsid w:val="00B55C2A"/>
    <w:rsid w:val="00B5684B"/>
    <w:rsid w:val="00B63327"/>
    <w:rsid w:val="00B63C27"/>
    <w:rsid w:val="00B63C50"/>
    <w:rsid w:val="00B64AC6"/>
    <w:rsid w:val="00B71017"/>
    <w:rsid w:val="00B73BAF"/>
    <w:rsid w:val="00B742C2"/>
    <w:rsid w:val="00B76742"/>
    <w:rsid w:val="00B77729"/>
    <w:rsid w:val="00B77E02"/>
    <w:rsid w:val="00B83C5B"/>
    <w:rsid w:val="00B87634"/>
    <w:rsid w:val="00B87BBE"/>
    <w:rsid w:val="00B900B2"/>
    <w:rsid w:val="00B92DF6"/>
    <w:rsid w:val="00B96958"/>
    <w:rsid w:val="00B97523"/>
    <w:rsid w:val="00BA20B0"/>
    <w:rsid w:val="00BA2CDA"/>
    <w:rsid w:val="00BC5FAF"/>
    <w:rsid w:val="00BD0231"/>
    <w:rsid w:val="00BD08DB"/>
    <w:rsid w:val="00BD1F61"/>
    <w:rsid w:val="00BD3D37"/>
    <w:rsid w:val="00BD4F61"/>
    <w:rsid w:val="00BD7F53"/>
    <w:rsid w:val="00BE1532"/>
    <w:rsid w:val="00BE2C1E"/>
    <w:rsid w:val="00BE672E"/>
    <w:rsid w:val="00BF1314"/>
    <w:rsid w:val="00BF21EE"/>
    <w:rsid w:val="00BF2710"/>
    <w:rsid w:val="00BF2EFA"/>
    <w:rsid w:val="00BF3117"/>
    <w:rsid w:val="00BF4407"/>
    <w:rsid w:val="00BF7852"/>
    <w:rsid w:val="00C035CA"/>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1"/>
    <w:rsid w:val="00C30FEE"/>
    <w:rsid w:val="00C4036A"/>
    <w:rsid w:val="00C43776"/>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1B28"/>
    <w:rsid w:val="00C969EE"/>
    <w:rsid w:val="00C96CD3"/>
    <w:rsid w:val="00CA09A8"/>
    <w:rsid w:val="00CA272E"/>
    <w:rsid w:val="00CA7012"/>
    <w:rsid w:val="00CB00A9"/>
    <w:rsid w:val="00CB24FC"/>
    <w:rsid w:val="00CB315E"/>
    <w:rsid w:val="00CB38BC"/>
    <w:rsid w:val="00CB5A3A"/>
    <w:rsid w:val="00CB6187"/>
    <w:rsid w:val="00CB797E"/>
    <w:rsid w:val="00CC27C1"/>
    <w:rsid w:val="00CC545D"/>
    <w:rsid w:val="00CE05BE"/>
    <w:rsid w:val="00CE34EF"/>
    <w:rsid w:val="00CE7574"/>
    <w:rsid w:val="00CF276A"/>
    <w:rsid w:val="00CF42C3"/>
    <w:rsid w:val="00CF6B43"/>
    <w:rsid w:val="00CF6D17"/>
    <w:rsid w:val="00D00F73"/>
    <w:rsid w:val="00D04837"/>
    <w:rsid w:val="00D1198B"/>
    <w:rsid w:val="00D135AE"/>
    <w:rsid w:val="00D15EE9"/>
    <w:rsid w:val="00D17682"/>
    <w:rsid w:val="00D200B9"/>
    <w:rsid w:val="00D21205"/>
    <w:rsid w:val="00D21719"/>
    <w:rsid w:val="00D21F61"/>
    <w:rsid w:val="00D22521"/>
    <w:rsid w:val="00D259FD"/>
    <w:rsid w:val="00D349F6"/>
    <w:rsid w:val="00D36F3E"/>
    <w:rsid w:val="00D41860"/>
    <w:rsid w:val="00D508A0"/>
    <w:rsid w:val="00D531E6"/>
    <w:rsid w:val="00D5412A"/>
    <w:rsid w:val="00D549BD"/>
    <w:rsid w:val="00D5639E"/>
    <w:rsid w:val="00D60B1A"/>
    <w:rsid w:val="00D61612"/>
    <w:rsid w:val="00D628FA"/>
    <w:rsid w:val="00D66803"/>
    <w:rsid w:val="00D7002F"/>
    <w:rsid w:val="00D72574"/>
    <w:rsid w:val="00D72B37"/>
    <w:rsid w:val="00D74BDF"/>
    <w:rsid w:val="00D77375"/>
    <w:rsid w:val="00D77ADF"/>
    <w:rsid w:val="00D8104C"/>
    <w:rsid w:val="00D825BF"/>
    <w:rsid w:val="00D85F42"/>
    <w:rsid w:val="00D93AD2"/>
    <w:rsid w:val="00D947BE"/>
    <w:rsid w:val="00D96493"/>
    <w:rsid w:val="00DA0761"/>
    <w:rsid w:val="00DA43F7"/>
    <w:rsid w:val="00DB0279"/>
    <w:rsid w:val="00DB2DE2"/>
    <w:rsid w:val="00DB432A"/>
    <w:rsid w:val="00DB443A"/>
    <w:rsid w:val="00DC2690"/>
    <w:rsid w:val="00DC6387"/>
    <w:rsid w:val="00DC6960"/>
    <w:rsid w:val="00DC6986"/>
    <w:rsid w:val="00DD31C0"/>
    <w:rsid w:val="00DD4D3D"/>
    <w:rsid w:val="00DD5ABD"/>
    <w:rsid w:val="00DD7319"/>
    <w:rsid w:val="00DE05FA"/>
    <w:rsid w:val="00DF03E4"/>
    <w:rsid w:val="00DF0965"/>
    <w:rsid w:val="00DF2140"/>
    <w:rsid w:val="00E038B3"/>
    <w:rsid w:val="00E05FE4"/>
    <w:rsid w:val="00E07A7B"/>
    <w:rsid w:val="00E10DA4"/>
    <w:rsid w:val="00E12560"/>
    <w:rsid w:val="00E12E78"/>
    <w:rsid w:val="00E13341"/>
    <w:rsid w:val="00E152D9"/>
    <w:rsid w:val="00E159A3"/>
    <w:rsid w:val="00E177E7"/>
    <w:rsid w:val="00E2641C"/>
    <w:rsid w:val="00E452DB"/>
    <w:rsid w:val="00E51174"/>
    <w:rsid w:val="00E51C66"/>
    <w:rsid w:val="00E57FD0"/>
    <w:rsid w:val="00E607F9"/>
    <w:rsid w:val="00E6298D"/>
    <w:rsid w:val="00E638DB"/>
    <w:rsid w:val="00E65CA4"/>
    <w:rsid w:val="00E67909"/>
    <w:rsid w:val="00E73254"/>
    <w:rsid w:val="00E810F6"/>
    <w:rsid w:val="00E820A4"/>
    <w:rsid w:val="00E877D2"/>
    <w:rsid w:val="00E97471"/>
    <w:rsid w:val="00E976BC"/>
    <w:rsid w:val="00E976C0"/>
    <w:rsid w:val="00EA7799"/>
    <w:rsid w:val="00EB0989"/>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22FF"/>
    <w:rsid w:val="00EF4DBD"/>
    <w:rsid w:val="00F00055"/>
    <w:rsid w:val="00F0021D"/>
    <w:rsid w:val="00F01BE6"/>
    <w:rsid w:val="00F01BE7"/>
    <w:rsid w:val="00F025C8"/>
    <w:rsid w:val="00F04939"/>
    <w:rsid w:val="00F04A5E"/>
    <w:rsid w:val="00F07966"/>
    <w:rsid w:val="00F07FCC"/>
    <w:rsid w:val="00F1582E"/>
    <w:rsid w:val="00F164A4"/>
    <w:rsid w:val="00F16609"/>
    <w:rsid w:val="00F2021F"/>
    <w:rsid w:val="00F204D3"/>
    <w:rsid w:val="00F211A8"/>
    <w:rsid w:val="00F2288A"/>
    <w:rsid w:val="00F2346C"/>
    <w:rsid w:val="00F25552"/>
    <w:rsid w:val="00F327B4"/>
    <w:rsid w:val="00F32A86"/>
    <w:rsid w:val="00F33327"/>
    <w:rsid w:val="00F358D1"/>
    <w:rsid w:val="00F35B66"/>
    <w:rsid w:val="00F35CE8"/>
    <w:rsid w:val="00F36FA7"/>
    <w:rsid w:val="00F37696"/>
    <w:rsid w:val="00F46262"/>
    <w:rsid w:val="00F46B37"/>
    <w:rsid w:val="00F47EAF"/>
    <w:rsid w:val="00F51126"/>
    <w:rsid w:val="00F511C2"/>
    <w:rsid w:val="00F513DD"/>
    <w:rsid w:val="00F54D56"/>
    <w:rsid w:val="00F6090B"/>
    <w:rsid w:val="00F60E09"/>
    <w:rsid w:val="00F645C7"/>
    <w:rsid w:val="00F6655F"/>
    <w:rsid w:val="00F67558"/>
    <w:rsid w:val="00F71136"/>
    <w:rsid w:val="00F720EC"/>
    <w:rsid w:val="00F735AD"/>
    <w:rsid w:val="00F7365A"/>
    <w:rsid w:val="00F856FD"/>
    <w:rsid w:val="00F87A93"/>
    <w:rsid w:val="00F90290"/>
    <w:rsid w:val="00FA0DF7"/>
    <w:rsid w:val="00FA1C0E"/>
    <w:rsid w:val="00FB4282"/>
    <w:rsid w:val="00FB51CC"/>
    <w:rsid w:val="00FC28B9"/>
    <w:rsid w:val="00FC3BE0"/>
    <w:rsid w:val="00FC68EB"/>
    <w:rsid w:val="00FD1693"/>
    <w:rsid w:val="00FD197C"/>
    <w:rsid w:val="00FD6008"/>
    <w:rsid w:val="00FE04A4"/>
    <w:rsid w:val="00FE10F0"/>
    <w:rsid w:val="00FE1B21"/>
    <w:rsid w:val="00FE3C8B"/>
    <w:rsid w:val="00FE4396"/>
    <w:rsid w:val="00FE7590"/>
    <w:rsid w:val="00FF080B"/>
    <w:rsid w:val="00FF1A1B"/>
    <w:rsid w:val="00FF4E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iretoria.habitacao@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E8561-728A-429B-8147-60AC86249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42</Pages>
  <Words>12232</Words>
  <Characters>66059</Characters>
  <Application>Microsoft Office Word</Application>
  <DocSecurity>0</DocSecurity>
  <Lines>550</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81</cp:revision>
  <cp:lastPrinted>2024-04-11T17:42:00Z</cp:lastPrinted>
  <dcterms:created xsi:type="dcterms:W3CDTF">2024-03-25T12:11:00Z</dcterms:created>
  <dcterms:modified xsi:type="dcterms:W3CDTF">2024-04-11T17:46:00Z</dcterms:modified>
</cp:coreProperties>
</file>